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88772" w14:textId="5C73F14E" w:rsidR="0002492C" w:rsidRDefault="001820C9" w:rsidP="001820C9">
      <w:pPr>
        <w:spacing w:before="240"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m</w:t>
      </w:r>
      <w:r w:rsidR="0002492C">
        <w:rPr>
          <w:rFonts w:asciiTheme="minorHAnsi" w:hAnsiTheme="minorHAnsi" w:cstheme="minorHAnsi"/>
        </w:rPr>
        <w:t>ajority of Georgians supported opening up the economy during the ongoing Covid-19 outbreak</w:t>
      </w:r>
    </w:p>
    <w:p w14:paraId="149A6A97" w14:textId="53C33FF7" w:rsidR="000760BD" w:rsidRDefault="000760BD" w:rsidP="00B4039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public supported </w:t>
      </w:r>
      <w:r w:rsidR="005739CC">
        <w:rPr>
          <w:rFonts w:asciiTheme="minorHAnsi" w:hAnsiTheme="minorHAnsi" w:cstheme="minorHAnsi"/>
        </w:rPr>
        <w:t>the vast</w:t>
      </w:r>
      <w:r>
        <w:rPr>
          <w:rFonts w:asciiTheme="minorHAnsi" w:hAnsiTheme="minorHAnsi" w:cstheme="minorHAnsi"/>
        </w:rPr>
        <w:t xml:space="preserve"> </w:t>
      </w:r>
      <w:r w:rsidR="00490E98">
        <w:rPr>
          <w:rFonts w:asciiTheme="minorHAnsi" w:hAnsiTheme="minorHAnsi" w:cstheme="minorHAnsi"/>
        </w:rPr>
        <w:t>majority of government policies</w:t>
      </w:r>
      <w:r>
        <w:rPr>
          <w:rFonts w:asciiTheme="minorHAnsi" w:hAnsiTheme="minorHAnsi" w:cstheme="minorHAnsi"/>
        </w:rPr>
        <w:t xml:space="preserve"> during the crisis aimed at preventing the spread of the virus.</w:t>
      </w:r>
      <w:r w:rsidR="005739CC">
        <w:rPr>
          <w:rFonts w:asciiTheme="minorHAnsi" w:hAnsiTheme="minorHAnsi" w:cstheme="minorHAnsi"/>
        </w:rPr>
        <w:t xml:space="preserve"> Aside from the public health</w:t>
      </w:r>
      <w:r w:rsidR="005739CC" w:rsidRPr="00473B37">
        <w:rPr>
          <w:rFonts w:asciiTheme="minorHAnsi" w:hAnsiTheme="minorHAnsi" w:cstheme="minorHAnsi"/>
        </w:rPr>
        <w:t xml:space="preserve"> situation</w:t>
      </w:r>
      <w:r w:rsidR="005739CC">
        <w:rPr>
          <w:rFonts w:asciiTheme="minorHAnsi" w:hAnsiTheme="minorHAnsi" w:cstheme="minorHAnsi"/>
        </w:rPr>
        <w:t>, Covid-19 led to</w:t>
      </w:r>
      <w:r w:rsidR="005739CC" w:rsidRPr="00473B37">
        <w:rPr>
          <w:rFonts w:asciiTheme="minorHAnsi" w:hAnsiTheme="minorHAnsi" w:cstheme="minorHAnsi"/>
        </w:rPr>
        <w:t xml:space="preserve"> </w:t>
      </w:r>
      <w:hyperlink r:id="rId5" w:history="1">
        <w:r w:rsidR="005739CC" w:rsidRPr="004A7F4F">
          <w:rPr>
            <w:rStyle w:val="Hyperlink"/>
            <w:rFonts w:asciiTheme="minorHAnsi" w:hAnsiTheme="minorHAnsi" w:cstheme="minorHAnsi"/>
          </w:rPr>
          <w:t>rising unemployment</w:t>
        </w:r>
      </w:hyperlink>
      <w:r w:rsidR="005739CC" w:rsidRPr="00473B37">
        <w:rPr>
          <w:rFonts w:asciiTheme="minorHAnsi" w:hAnsiTheme="minorHAnsi" w:cstheme="minorHAnsi"/>
        </w:rPr>
        <w:t xml:space="preserve">, </w:t>
      </w:r>
      <w:hyperlink r:id="rId6" w:history="1">
        <w:r w:rsidR="005739CC" w:rsidRPr="004A7F4F">
          <w:rPr>
            <w:rStyle w:val="Hyperlink"/>
            <w:rFonts w:asciiTheme="minorHAnsi" w:hAnsiTheme="minorHAnsi" w:cstheme="minorHAnsi"/>
          </w:rPr>
          <w:t>reduced incomes</w:t>
        </w:r>
      </w:hyperlink>
      <w:r w:rsidR="005739CC">
        <w:rPr>
          <w:rFonts w:asciiTheme="minorHAnsi" w:hAnsiTheme="minorHAnsi" w:cstheme="minorHAnsi"/>
        </w:rPr>
        <w:t>,</w:t>
      </w:r>
      <w:r w:rsidR="005739CC" w:rsidRPr="00473B37">
        <w:rPr>
          <w:rFonts w:asciiTheme="minorHAnsi" w:hAnsiTheme="minorHAnsi" w:cstheme="minorHAnsi"/>
        </w:rPr>
        <w:t xml:space="preserve"> and </w:t>
      </w:r>
      <w:hyperlink r:id="rId7" w:history="1">
        <w:r w:rsidR="005739CC" w:rsidRPr="004A7F4F">
          <w:rPr>
            <w:rStyle w:val="Hyperlink"/>
            <w:rFonts w:asciiTheme="minorHAnsi" w:hAnsiTheme="minorHAnsi" w:cstheme="minorHAnsi"/>
          </w:rPr>
          <w:t>food insecurity</w:t>
        </w:r>
      </w:hyperlink>
      <w:r w:rsidR="005739CC" w:rsidRPr="00473B37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 </w:t>
      </w:r>
      <w:r w:rsidR="005739CC">
        <w:rPr>
          <w:rFonts w:asciiTheme="minorHAnsi" w:hAnsiTheme="minorHAnsi" w:cstheme="minorHAnsi"/>
        </w:rPr>
        <w:t>In this context</w:t>
      </w:r>
      <w:r w:rsidR="0061768C">
        <w:rPr>
          <w:rFonts w:asciiTheme="minorHAnsi" w:hAnsiTheme="minorHAnsi" w:cstheme="minorHAnsi"/>
        </w:rPr>
        <w:t>,</w:t>
      </w:r>
      <w:r w:rsidR="005739CC">
        <w:rPr>
          <w:rFonts w:asciiTheme="minorHAnsi" w:hAnsiTheme="minorHAnsi" w:cstheme="minorHAnsi"/>
        </w:rPr>
        <w:t xml:space="preserve"> data from CRRC Georgia’s </w:t>
      </w:r>
      <w:hyperlink r:id="rId8" w:history="1">
        <w:r w:rsidR="005739CC" w:rsidRPr="00A04BE7">
          <w:rPr>
            <w:rStyle w:val="Hyperlink"/>
            <w:rFonts w:asciiTheme="minorHAnsi" w:hAnsiTheme="minorHAnsi" w:cstheme="minorHAnsi"/>
          </w:rPr>
          <w:t>Covid-19 Monitor surveys</w:t>
        </w:r>
      </w:hyperlink>
      <w:r w:rsidR="005739CC">
        <w:rPr>
          <w:rFonts w:asciiTheme="minorHAnsi" w:hAnsiTheme="minorHAnsi" w:cstheme="minorHAnsi"/>
        </w:rPr>
        <w:t xml:space="preserve"> suggests</w:t>
      </w:r>
      <w:r w:rsidR="0061768C">
        <w:rPr>
          <w:rFonts w:asciiTheme="minorHAnsi" w:hAnsiTheme="minorHAnsi" w:cstheme="minorHAnsi"/>
        </w:rPr>
        <w:t xml:space="preserve"> </w:t>
      </w:r>
      <w:r w:rsidR="005739CC">
        <w:rPr>
          <w:rFonts w:asciiTheme="minorHAnsi" w:hAnsiTheme="minorHAnsi" w:cstheme="minorHAnsi"/>
        </w:rPr>
        <w:t>people were eager for the economy to open, with a</w:t>
      </w:r>
      <w:r w:rsidR="0061768C">
        <w:rPr>
          <w:rFonts w:asciiTheme="minorHAnsi" w:hAnsiTheme="minorHAnsi" w:cstheme="minorHAnsi"/>
        </w:rPr>
        <w:t xml:space="preserve"> </w:t>
      </w:r>
      <w:r w:rsidR="005739CC">
        <w:rPr>
          <w:rFonts w:asciiTheme="minorHAnsi" w:hAnsiTheme="minorHAnsi" w:cstheme="minorHAnsi"/>
        </w:rPr>
        <w:t>majority favoring opening up to caution</w:t>
      </w:r>
      <w:r w:rsidR="0061768C">
        <w:rPr>
          <w:rFonts w:asciiTheme="minorHAnsi" w:hAnsiTheme="minorHAnsi" w:cstheme="minorHAnsi"/>
        </w:rPr>
        <w:t xml:space="preserve">. </w:t>
      </w:r>
    </w:p>
    <w:p w14:paraId="7AD1D66F" w14:textId="77777777" w:rsidR="000760BD" w:rsidRDefault="000760BD" w:rsidP="00B4039E">
      <w:pPr>
        <w:jc w:val="both"/>
        <w:rPr>
          <w:rFonts w:asciiTheme="minorHAnsi" w:hAnsiTheme="minorHAnsi" w:cstheme="minorHAnsi"/>
        </w:rPr>
      </w:pPr>
    </w:p>
    <w:p w14:paraId="104A36E0" w14:textId="1F15D3EF" w:rsidR="00B4039E" w:rsidRPr="00473B37" w:rsidRDefault="00815856" w:rsidP="00B4039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CRRC</w:t>
      </w:r>
      <w:r w:rsidR="00702A89" w:rsidRPr="00473B37">
        <w:rPr>
          <w:rFonts w:asciiTheme="minorHAnsi" w:hAnsiTheme="minorHAnsi" w:cstheme="minorHAnsi"/>
        </w:rPr>
        <w:t xml:space="preserve"> asked </w:t>
      </w:r>
      <w:r>
        <w:rPr>
          <w:rFonts w:asciiTheme="minorHAnsi" w:hAnsiTheme="minorHAnsi" w:cstheme="minorHAnsi"/>
        </w:rPr>
        <w:t>the public</w:t>
      </w:r>
      <w:r w:rsidRPr="00473B3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about the relative importance of</w:t>
      </w:r>
      <w:r w:rsidR="005739CC">
        <w:rPr>
          <w:rFonts w:asciiTheme="minorHAnsi" w:hAnsiTheme="minorHAnsi" w:cstheme="minorHAnsi"/>
        </w:rPr>
        <w:t xml:space="preserve"> caution versus opening up the economy on</w:t>
      </w:r>
      <w:r>
        <w:rPr>
          <w:rFonts w:asciiTheme="minorHAnsi" w:hAnsiTheme="minorHAnsi" w:cstheme="minorHAnsi"/>
        </w:rPr>
        <w:t xml:space="preserve"> two surveys, conducted between </w:t>
      </w:r>
      <w:r w:rsidR="00367ED5">
        <w:rPr>
          <w:rFonts w:asciiTheme="minorHAnsi" w:hAnsiTheme="minorHAnsi" w:cstheme="minorHAnsi"/>
        </w:rPr>
        <w:t>May 7-10</w:t>
      </w:r>
      <w:r>
        <w:rPr>
          <w:rFonts w:asciiTheme="minorHAnsi" w:hAnsiTheme="minorHAnsi" w:cstheme="minorHAnsi"/>
        </w:rPr>
        <w:t xml:space="preserve"> and </w:t>
      </w:r>
      <w:r w:rsidR="00367ED5">
        <w:rPr>
          <w:rFonts w:asciiTheme="minorHAnsi" w:hAnsiTheme="minorHAnsi" w:cstheme="minorHAnsi"/>
        </w:rPr>
        <w:t>May 14-17</w:t>
      </w:r>
      <w:r>
        <w:rPr>
          <w:rFonts w:asciiTheme="minorHAnsi" w:hAnsiTheme="minorHAnsi" w:cstheme="minorHAnsi"/>
        </w:rPr>
        <w:t>.</w:t>
      </w:r>
      <w:r w:rsidR="00686E20" w:rsidRPr="00473B37">
        <w:rPr>
          <w:rFonts w:asciiTheme="minorHAnsi" w:hAnsiTheme="minorHAnsi" w:cstheme="minorHAnsi"/>
        </w:rPr>
        <w:t xml:space="preserve"> </w:t>
      </w:r>
      <w:r w:rsidR="005739CC">
        <w:rPr>
          <w:rFonts w:asciiTheme="minorHAnsi" w:hAnsiTheme="minorHAnsi" w:cstheme="minorHAnsi"/>
        </w:rPr>
        <w:t xml:space="preserve">Most people agreed with the idea that the economic impacts of Covid-19 </w:t>
      </w:r>
      <w:r w:rsidR="000B2EDB">
        <w:rPr>
          <w:rFonts w:asciiTheme="minorHAnsi" w:hAnsiTheme="minorHAnsi" w:cstheme="minorHAnsi"/>
        </w:rPr>
        <w:t>we</w:t>
      </w:r>
      <w:r w:rsidR="005739CC">
        <w:rPr>
          <w:rFonts w:asciiTheme="minorHAnsi" w:hAnsiTheme="minorHAnsi" w:cstheme="minorHAnsi"/>
        </w:rPr>
        <w:t xml:space="preserve">re worse than the virus and disagreed with the idea that it was more important to wait for the virus to be under control than to open the economy. </w:t>
      </w:r>
      <w:r w:rsidR="004A7F4F">
        <w:rPr>
          <w:rFonts w:asciiTheme="minorHAnsi" w:hAnsiTheme="minorHAnsi" w:cstheme="minorHAnsi"/>
        </w:rPr>
        <w:t xml:space="preserve"> </w:t>
      </w:r>
      <w:r w:rsidR="00B4039E">
        <w:rPr>
          <w:rFonts w:asciiTheme="minorHAnsi" w:hAnsiTheme="minorHAnsi" w:cstheme="minorHAnsi"/>
          <w:lang w:val="en-US"/>
        </w:rPr>
        <w:t>In addition,</w:t>
      </w:r>
      <w:r w:rsidR="002A371D">
        <w:rPr>
          <w:rFonts w:asciiTheme="minorHAnsi" w:hAnsiTheme="minorHAnsi" w:cstheme="minorHAnsi"/>
          <w:lang w:val="en-US"/>
        </w:rPr>
        <w:t xml:space="preserve"> the</w:t>
      </w:r>
      <w:r w:rsidR="00B4039E">
        <w:rPr>
          <w:rFonts w:asciiTheme="minorHAnsi" w:hAnsiTheme="minorHAnsi" w:cstheme="minorHAnsi"/>
          <w:lang w:val="en-US"/>
        </w:rPr>
        <w:t xml:space="preserve"> </w:t>
      </w:r>
      <w:r w:rsidR="00B4039E">
        <w:rPr>
          <w:rFonts w:asciiTheme="minorHAnsi" w:hAnsiTheme="minorHAnsi" w:cstheme="minorHAnsi"/>
        </w:rPr>
        <w:t xml:space="preserve">share of Georgians thinking that economic consequences of the virus could be as severe as virus itself also rose from 51% during May 7 – May 10 period to 64% during the May 14-May 17. </w:t>
      </w:r>
    </w:p>
    <w:p w14:paraId="0BA34113" w14:textId="77777777" w:rsidR="00964F82" w:rsidRPr="00473B37" w:rsidRDefault="00964F82" w:rsidP="00D75EC4">
      <w:pPr>
        <w:jc w:val="both"/>
        <w:rPr>
          <w:rFonts w:asciiTheme="minorHAnsi" w:hAnsiTheme="minorHAnsi" w:cstheme="minorHAnsi"/>
        </w:rPr>
      </w:pPr>
    </w:p>
    <w:p w14:paraId="0B8CDBC6" w14:textId="77777777" w:rsidR="00702A89" w:rsidRPr="00473B37" w:rsidRDefault="00702A89" w:rsidP="003C1DBF">
      <w:pPr>
        <w:ind w:left="-426" w:right="-421"/>
        <w:jc w:val="both"/>
        <w:rPr>
          <w:rFonts w:asciiTheme="minorHAnsi" w:hAnsiTheme="minorHAnsi" w:cstheme="minorHAnsi"/>
        </w:rPr>
      </w:pPr>
      <w:r w:rsidRPr="00473B37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5D7E99C" wp14:editId="4B98853C">
            <wp:extent cx="6431280" cy="4145280"/>
            <wp:effectExtent l="0" t="0" r="762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A5FD6E" w14:textId="77777777" w:rsidR="00964F82" w:rsidRPr="00473B37" w:rsidRDefault="00964F82" w:rsidP="00964F82">
      <w:pPr>
        <w:ind w:left="-567"/>
        <w:jc w:val="both"/>
        <w:rPr>
          <w:rFonts w:asciiTheme="minorHAnsi" w:hAnsiTheme="minorHAnsi" w:cstheme="minorHAnsi"/>
        </w:rPr>
      </w:pPr>
    </w:p>
    <w:p w14:paraId="35F85787" w14:textId="2E108A13" w:rsidR="00964F82" w:rsidRPr="00473B37" w:rsidRDefault="00E41D3F" w:rsidP="00964F8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 from the May 14-May 17</w:t>
      </w:r>
      <w:r w:rsidR="002A371D">
        <w:rPr>
          <w:rFonts w:asciiTheme="minorHAnsi" w:hAnsiTheme="minorHAnsi" w:cstheme="minorHAnsi"/>
        </w:rPr>
        <w:t xml:space="preserve"> survey</w:t>
      </w:r>
      <w:r>
        <w:rPr>
          <w:rFonts w:asciiTheme="minorHAnsi" w:hAnsiTheme="minorHAnsi" w:cstheme="minorHAnsi"/>
        </w:rPr>
        <w:t xml:space="preserve"> was further analyzed to explore differences </w:t>
      </w:r>
      <w:r w:rsidR="002A371D">
        <w:rPr>
          <w:rFonts w:asciiTheme="minorHAnsi" w:hAnsiTheme="minorHAnsi" w:cstheme="minorHAnsi"/>
        </w:rPr>
        <w:t>between</w:t>
      </w:r>
      <w:r>
        <w:rPr>
          <w:rFonts w:asciiTheme="minorHAnsi" w:hAnsiTheme="minorHAnsi" w:cstheme="minorHAnsi"/>
        </w:rPr>
        <w:t xml:space="preserve"> socio-demographic groups. </w:t>
      </w:r>
      <w:r w:rsidR="00815856">
        <w:rPr>
          <w:rFonts w:asciiTheme="minorHAnsi" w:hAnsiTheme="minorHAnsi" w:cstheme="minorHAnsi"/>
        </w:rPr>
        <w:t>A</w:t>
      </w:r>
      <w:r w:rsidR="00815856" w:rsidRPr="00473B37">
        <w:rPr>
          <w:rFonts w:asciiTheme="minorHAnsi" w:hAnsiTheme="minorHAnsi" w:cstheme="minorHAnsi"/>
        </w:rPr>
        <w:t xml:space="preserve"> </w:t>
      </w:r>
      <w:r w:rsidR="00931734" w:rsidRPr="00473B37">
        <w:rPr>
          <w:rFonts w:asciiTheme="minorHAnsi" w:hAnsiTheme="minorHAnsi" w:cstheme="minorHAnsi"/>
        </w:rPr>
        <w:t xml:space="preserve">logistic regression </w:t>
      </w:r>
      <w:r w:rsidR="00490E98">
        <w:rPr>
          <w:rFonts w:asciiTheme="minorHAnsi" w:hAnsiTheme="minorHAnsi" w:cstheme="minorHAnsi"/>
        </w:rPr>
        <w:t>controlling for key socio-demographic variables, like age, gender, settlement type, education, employment, ethnicity</w:t>
      </w:r>
      <w:r w:rsidR="002A371D">
        <w:rPr>
          <w:rFonts w:asciiTheme="minorHAnsi" w:hAnsiTheme="minorHAnsi" w:cstheme="minorHAnsi"/>
        </w:rPr>
        <w:t>,</w:t>
      </w:r>
      <w:r w:rsidR="00490E98">
        <w:rPr>
          <w:rFonts w:asciiTheme="minorHAnsi" w:hAnsiTheme="minorHAnsi" w:cstheme="minorHAnsi"/>
        </w:rPr>
        <w:t xml:space="preserve"> and </w:t>
      </w:r>
      <w:r w:rsidR="008565EB">
        <w:rPr>
          <w:rFonts w:asciiTheme="minorHAnsi" w:hAnsiTheme="minorHAnsi" w:cstheme="minorHAnsi"/>
        </w:rPr>
        <w:t>household</w:t>
      </w:r>
      <w:r w:rsidR="00490E98">
        <w:rPr>
          <w:rFonts w:asciiTheme="minorHAnsi" w:hAnsiTheme="minorHAnsi" w:cstheme="minorHAnsi"/>
        </w:rPr>
        <w:t xml:space="preserve"> wealth </w:t>
      </w:r>
      <w:r w:rsidR="00931734" w:rsidRPr="00473B37">
        <w:rPr>
          <w:rFonts w:asciiTheme="minorHAnsi" w:hAnsiTheme="minorHAnsi" w:cstheme="minorHAnsi"/>
        </w:rPr>
        <w:t xml:space="preserve">shows that </w:t>
      </w:r>
      <w:r w:rsidR="00707B65">
        <w:rPr>
          <w:rFonts w:asciiTheme="minorHAnsi" w:hAnsiTheme="minorHAnsi" w:cstheme="minorHAnsi"/>
        </w:rPr>
        <w:t>people</w:t>
      </w:r>
      <w:r w:rsidR="00707B65" w:rsidRPr="00473B37">
        <w:rPr>
          <w:rFonts w:asciiTheme="minorHAnsi" w:hAnsiTheme="minorHAnsi" w:cstheme="minorHAnsi"/>
        </w:rPr>
        <w:t xml:space="preserve"> </w:t>
      </w:r>
      <w:r w:rsidR="00931734" w:rsidRPr="00473B37">
        <w:rPr>
          <w:rFonts w:asciiTheme="minorHAnsi" w:hAnsiTheme="minorHAnsi" w:cstheme="minorHAnsi"/>
        </w:rPr>
        <w:t xml:space="preserve">in Tbilisi were </w:t>
      </w:r>
      <w:r w:rsidR="00707B65">
        <w:rPr>
          <w:rFonts w:asciiTheme="minorHAnsi" w:hAnsiTheme="minorHAnsi" w:cstheme="minorHAnsi"/>
        </w:rPr>
        <w:t>less likely to think it was</w:t>
      </w:r>
      <w:r w:rsidR="00931734" w:rsidRPr="00473B37">
        <w:rPr>
          <w:rFonts w:asciiTheme="minorHAnsi" w:hAnsiTheme="minorHAnsi" w:cstheme="minorHAnsi"/>
        </w:rPr>
        <w:t xml:space="preserve"> import</w:t>
      </w:r>
      <w:r w:rsidR="002A371D">
        <w:rPr>
          <w:rFonts w:asciiTheme="minorHAnsi" w:hAnsiTheme="minorHAnsi" w:cstheme="minorHAnsi"/>
        </w:rPr>
        <w:t>ant</w:t>
      </w:r>
      <w:r w:rsidR="00707B65">
        <w:rPr>
          <w:rFonts w:asciiTheme="minorHAnsi" w:hAnsiTheme="minorHAnsi" w:cstheme="minorHAnsi"/>
        </w:rPr>
        <w:t xml:space="preserve"> to</w:t>
      </w:r>
      <w:r w:rsidR="00931734" w:rsidRPr="00473B37">
        <w:rPr>
          <w:rFonts w:asciiTheme="minorHAnsi" w:hAnsiTheme="minorHAnsi" w:cstheme="minorHAnsi"/>
        </w:rPr>
        <w:t xml:space="preserve"> wait for COVID-19 to subside before opening up the economy. </w:t>
      </w:r>
      <w:r w:rsidR="00707B65">
        <w:rPr>
          <w:rFonts w:asciiTheme="minorHAnsi" w:hAnsiTheme="minorHAnsi" w:cstheme="minorHAnsi"/>
        </w:rPr>
        <w:t>O</w:t>
      </w:r>
      <w:r w:rsidR="00931734" w:rsidRPr="00473B37">
        <w:rPr>
          <w:rFonts w:asciiTheme="minorHAnsi" w:hAnsiTheme="minorHAnsi" w:cstheme="minorHAnsi"/>
        </w:rPr>
        <w:t>lder people</w:t>
      </w:r>
      <w:r w:rsidR="00707B65">
        <w:rPr>
          <w:rFonts w:asciiTheme="minorHAnsi" w:hAnsiTheme="minorHAnsi" w:cstheme="minorHAnsi"/>
        </w:rPr>
        <w:t xml:space="preserve"> were also less likely to support waiting for the </w:t>
      </w:r>
      <w:r w:rsidR="009C4658">
        <w:rPr>
          <w:rFonts w:asciiTheme="minorHAnsi" w:hAnsiTheme="minorHAnsi" w:cstheme="minorHAnsi"/>
        </w:rPr>
        <w:t>epidemiological</w:t>
      </w:r>
      <w:r w:rsidR="00707B65">
        <w:rPr>
          <w:rFonts w:asciiTheme="minorHAnsi" w:hAnsiTheme="minorHAnsi" w:cstheme="minorHAnsi"/>
        </w:rPr>
        <w:t xml:space="preserve"> situation to get </w:t>
      </w:r>
      <w:r w:rsidR="00707B65">
        <w:rPr>
          <w:rFonts w:asciiTheme="minorHAnsi" w:hAnsiTheme="minorHAnsi" w:cstheme="minorHAnsi"/>
        </w:rPr>
        <w:lastRenderedPageBreak/>
        <w:t>under control</w:t>
      </w:r>
      <w:r w:rsidR="00931734" w:rsidRPr="00473B37">
        <w:rPr>
          <w:rFonts w:asciiTheme="minorHAnsi" w:hAnsiTheme="minorHAnsi" w:cstheme="minorHAnsi"/>
        </w:rPr>
        <w:t xml:space="preserve">. </w:t>
      </w:r>
      <w:r w:rsidR="00716D80">
        <w:rPr>
          <w:rFonts w:asciiTheme="minorHAnsi" w:hAnsiTheme="minorHAnsi" w:cstheme="minorHAnsi"/>
        </w:rPr>
        <w:t>When it come</w:t>
      </w:r>
      <w:r w:rsidR="002A371D">
        <w:rPr>
          <w:rFonts w:asciiTheme="minorHAnsi" w:hAnsiTheme="minorHAnsi" w:cstheme="minorHAnsi"/>
        </w:rPr>
        <w:t>s</w:t>
      </w:r>
      <w:r w:rsidR="00716D80">
        <w:rPr>
          <w:rFonts w:asciiTheme="minorHAnsi" w:hAnsiTheme="minorHAnsi" w:cstheme="minorHAnsi"/>
        </w:rPr>
        <w:t xml:space="preserve"> to the </w:t>
      </w:r>
      <w:r w:rsidR="00716D80" w:rsidRPr="00716D80">
        <w:rPr>
          <w:rFonts w:asciiTheme="minorHAnsi" w:hAnsiTheme="minorHAnsi" w:cstheme="minorHAnsi"/>
        </w:rPr>
        <w:t>economic costs of COVID-19</w:t>
      </w:r>
      <w:r w:rsidR="00716D80">
        <w:rPr>
          <w:rFonts w:asciiTheme="minorHAnsi" w:hAnsiTheme="minorHAnsi" w:cstheme="minorHAnsi"/>
        </w:rPr>
        <w:t xml:space="preserve">, there were not statistical differences between </w:t>
      </w:r>
      <w:r w:rsidR="00551007">
        <w:rPr>
          <w:rFonts w:asciiTheme="minorHAnsi" w:hAnsiTheme="minorHAnsi" w:cstheme="minorHAnsi"/>
        </w:rPr>
        <w:t xml:space="preserve">key socio-demographic variables. </w:t>
      </w:r>
    </w:p>
    <w:p w14:paraId="2BE81E88" w14:textId="4137652C" w:rsidR="00931734" w:rsidRDefault="00931734" w:rsidP="003C1DBF">
      <w:pPr>
        <w:ind w:left="-993"/>
        <w:jc w:val="both"/>
        <w:rPr>
          <w:rFonts w:asciiTheme="minorHAnsi" w:hAnsiTheme="minorHAnsi" w:cstheme="minorHAnsi"/>
        </w:rPr>
      </w:pPr>
    </w:p>
    <w:p w14:paraId="2639B74D" w14:textId="69550D53" w:rsidR="00716D80" w:rsidRDefault="00716D80" w:rsidP="00716D80">
      <w:pPr>
        <w:ind w:left="-142"/>
        <w:jc w:val="both"/>
        <w:rPr>
          <w:rFonts w:asciiTheme="minorHAnsi" w:hAnsiTheme="minorHAnsi" w:cstheme="minorHAnsi"/>
        </w:rPr>
      </w:pPr>
    </w:p>
    <w:p w14:paraId="119CD7A6" w14:textId="4C028A2E" w:rsidR="00490E98" w:rsidRDefault="00490E98" w:rsidP="00931734">
      <w:pPr>
        <w:ind w:left="-567"/>
        <w:jc w:val="both"/>
        <w:rPr>
          <w:rFonts w:asciiTheme="minorHAnsi" w:hAnsiTheme="minorHAnsi" w:cstheme="minorHAnsi"/>
        </w:rPr>
      </w:pPr>
      <w:r>
        <w:rPr>
          <w:noProof/>
          <w:lang w:val="en-US"/>
        </w:rPr>
        <w:drawing>
          <wp:inline distT="0" distB="0" distL="0" distR="0" wp14:anchorId="187BF070" wp14:editId="31648BCF">
            <wp:extent cx="7109460" cy="35433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09B36D" w14:textId="77777777" w:rsidR="00490E98" w:rsidRDefault="00490E98" w:rsidP="00931734">
      <w:pPr>
        <w:ind w:left="-567"/>
        <w:jc w:val="both"/>
        <w:rPr>
          <w:rFonts w:asciiTheme="minorHAnsi" w:hAnsiTheme="minorHAnsi" w:cstheme="minorHAnsi"/>
        </w:rPr>
      </w:pPr>
    </w:p>
    <w:p w14:paraId="14353850" w14:textId="77777777" w:rsidR="00490E98" w:rsidRPr="00473B37" w:rsidRDefault="00490E98" w:rsidP="00931734">
      <w:pPr>
        <w:ind w:left="-567"/>
        <w:jc w:val="both"/>
        <w:rPr>
          <w:rFonts w:asciiTheme="minorHAnsi" w:hAnsiTheme="minorHAnsi" w:cstheme="minorHAnsi"/>
        </w:rPr>
      </w:pPr>
    </w:p>
    <w:p w14:paraId="3CA0B270" w14:textId="46FBC261" w:rsidR="00860330" w:rsidRDefault="00DA0CF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During the crisis</w:t>
      </w:r>
      <w:r w:rsidR="002A371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large shares were uncertain how long the</w:t>
      </w:r>
      <w:r w:rsidR="00E80649" w:rsidRPr="00473B37">
        <w:rPr>
          <w:rFonts w:asciiTheme="minorHAnsi" w:hAnsiTheme="minorHAnsi" w:cstheme="minorHAnsi"/>
        </w:rPr>
        <w:t xml:space="preserve"> COVID-19 </w:t>
      </w:r>
      <w:r w:rsidR="002A371D">
        <w:rPr>
          <w:rFonts w:asciiTheme="minorHAnsi" w:hAnsiTheme="minorHAnsi" w:cstheme="minorHAnsi"/>
        </w:rPr>
        <w:t>c</w:t>
      </w:r>
      <w:r w:rsidR="002A371D" w:rsidRPr="00473B37">
        <w:rPr>
          <w:rFonts w:asciiTheme="minorHAnsi" w:hAnsiTheme="minorHAnsi" w:cstheme="minorHAnsi"/>
        </w:rPr>
        <w:t>risis</w:t>
      </w:r>
      <w:r w:rsidR="002A371D">
        <w:rPr>
          <w:rFonts w:asciiTheme="minorHAnsi" w:hAnsiTheme="minorHAnsi" w:cstheme="minorHAnsi"/>
        </w:rPr>
        <w:t xml:space="preserve"> would last</w:t>
      </w:r>
      <w:r w:rsidR="002A371D" w:rsidRPr="00473B37">
        <w:rPr>
          <w:rFonts w:asciiTheme="minorHAnsi" w:hAnsiTheme="minorHAnsi" w:cstheme="minorHAnsi"/>
        </w:rPr>
        <w:t xml:space="preserve"> </w:t>
      </w:r>
      <w:r w:rsidR="00E80649" w:rsidRPr="00473B37">
        <w:rPr>
          <w:rFonts w:asciiTheme="minorHAnsi" w:hAnsiTheme="minorHAnsi" w:cstheme="minorHAnsi"/>
        </w:rPr>
        <w:t>(</w:t>
      </w:r>
      <w:hyperlink r:id="rId11" w:history="1">
        <w:r w:rsidR="00E80649" w:rsidRPr="006C6303">
          <w:rPr>
            <w:rStyle w:val="Hyperlink"/>
            <w:rFonts w:asciiTheme="minorHAnsi" w:hAnsiTheme="minorHAnsi" w:cstheme="minorHAnsi"/>
          </w:rPr>
          <w:t>3</w:t>
        </w:r>
        <w:r w:rsidR="00E80649" w:rsidRPr="006C6303">
          <w:rPr>
            <w:rStyle w:val="Hyperlink"/>
            <w:rFonts w:asciiTheme="minorHAnsi" w:hAnsiTheme="minorHAnsi" w:cstheme="minorHAnsi"/>
          </w:rPr>
          <w:t>5</w:t>
        </w:r>
        <w:r w:rsidR="00E80649" w:rsidRPr="006C6303">
          <w:rPr>
            <w:rStyle w:val="Hyperlink"/>
            <w:rFonts w:asciiTheme="minorHAnsi" w:hAnsiTheme="minorHAnsi" w:cstheme="minorHAnsi"/>
          </w:rPr>
          <w:t>%</w:t>
        </w:r>
      </w:hyperlink>
      <w:r w:rsidR="00E80649" w:rsidRPr="006C6303">
        <w:rPr>
          <w:rFonts w:asciiTheme="minorHAnsi" w:hAnsiTheme="minorHAnsi" w:cstheme="minorHAnsi"/>
        </w:rPr>
        <w:t xml:space="preserve"> in </w:t>
      </w:r>
      <w:r w:rsidR="00EB5512" w:rsidRPr="006C6303">
        <w:rPr>
          <w:rFonts w:asciiTheme="minorHAnsi" w:hAnsiTheme="minorHAnsi" w:cstheme="minorHAnsi"/>
        </w:rPr>
        <w:t>May 7 and 10</w:t>
      </w:r>
      <w:r w:rsidR="00EB5512" w:rsidRPr="006C6303">
        <w:rPr>
          <w:rFonts w:asciiTheme="minorHAnsi" w:hAnsiTheme="minorHAnsi" w:cstheme="minorHAnsi"/>
          <w:lang w:val="ka-GE"/>
        </w:rPr>
        <w:t xml:space="preserve"> </w:t>
      </w:r>
      <w:r w:rsidR="00EB5512" w:rsidRPr="006C6303">
        <w:rPr>
          <w:rFonts w:asciiTheme="minorHAnsi" w:hAnsiTheme="minorHAnsi" w:cstheme="minorHAnsi"/>
          <w:lang w:val="en-US"/>
        </w:rPr>
        <w:t>period</w:t>
      </w:r>
      <w:r w:rsidR="00E80649" w:rsidRPr="00473B37">
        <w:rPr>
          <w:rFonts w:asciiTheme="minorHAnsi" w:hAnsiTheme="minorHAnsi" w:cstheme="minorHAnsi"/>
        </w:rPr>
        <w:t xml:space="preserve">, </w:t>
      </w:r>
      <w:hyperlink r:id="rId12" w:history="1">
        <w:r w:rsidR="00E80649" w:rsidRPr="006C6303">
          <w:rPr>
            <w:rStyle w:val="Hyperlink"/>
            <w:rFonts w:asciiTheme="minorHAnsi" w:hAnsiTheme="minorHAnsi" w:cstheme="minorHAnsi"/>
          </w:rPr>
          <w:t>4</w:t>
        </w:r>
        <w:r w:rsidR="00B90AAB">
          <w:rPr>
            <w:rStyle w:val="Hyperlink"/>
            <w:rFonts w:asciiTheme="minorHAnsi" w:hAnsiTheme="minorHAnsi" w:cstheme="minorHAnsi"/>
            <w:lang w:val="ka-GE"/>
          </w:rPr>
          <w:t>2</w:t>
        </w:r>
        <w:bookmarkStart w:id="0" w:name="_GoBack"/>
        <w:bookmarkEnd w:id="0"/>
        <w:r w:rsidR="00E80649" w:rsidRPr="006C6303">
          <w:rPr>
            <w:rStyle w:val="Hyperlink"/>
            <w:rFonts w:asciiTheme="minorHAnsi" w:hAnsiTheme="minorHAnsi" w:cstheme="minorHAnsi"/>
          </w:rPr>
          <w:t>%</w:t>
        </w:r>
      </w:hyperlink>
      <w:r w:rsidR="00E80649" w:rsidRPr="00473B37">
        <w:rPr>
          <w:rFonts w:asciiTheme="minorHAnsi" w:hAnsiTheme="minorHAnsi" w:cstheme="minorHAnsi"/>
        </w:rPr>
        <w:t xml:space="preserve"> during </w:t>
      </w:r>
      <w:r w:rsidR="00EB5512">
        <w:rPr>
          <w:rFonts w:asciiTheme="minorHAnsi" w:hAnsiTheme="minorHAnsi" w:cstheme="minorHAnsi"/>
        </w:rPr>
        <w:t>May 14 and 17 period)</w:t>
      </w:r>
      <w:r w:rsidR="00E35519" w:rsidRPr="00473B37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Uncertainty on th</w:t>
      </w:r>
      <w:r w:rsidR="00BB2A4A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questions was associated with </w:t>
      </w:r>
      <w:r w:rsidR="00C85E77">
        <w:rPr>
          <w:rFonts w:asciiTheme="minorHAnsi" w:hAnsiTheme="minorHAnsi" w:cstheme="minorHAnsi"/>
        </w:rPr>
        <w:t xml:space="preserve">idea that </w:t>
      </w:r>
      <w:r w:rsidR="002A371D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economic costs of the </w:t>
      </w:r>
      <w:r w:rsidR="00BB2A4A">
        <w:rPr>
          <w:rFonts w:asciiTheme="minorHAnsi" w:hAnsiTheme="minorHAnsi" w:cstheme="minorHAnsi"/>
        </w:rPr>
        <w:t>virus</w:t>
      </w:r>
      <w:r>
        <w:rPr>
          <w:rFonts w:asciiTheme="minorHAnsi" w:hAnsiTheme="minorHAnsi" w:cstheme="minorHAnsi"/>
        </w:rPr>
        <w:t xml:space="preserve"> </w:t>
      </w:r>
      <w:r w:rsidR="00C85E77">
        <w:rPr>
          <w:rFonts w:asciiTheme="minorHAnsi" w:hAnsiTheme="minorHAnsi" w:cstheme="minorHAnsi"/>
        </w:rPr>
        <w:t xml:space="preserve">could be </w:t>
      </w:r>
      <w:r>
        <w:rPr>
          <w:rFonts w:asciiTheme="minorHAnsi" w:hAnsiTheme="minorHAnsi" w:cstheme="minorHAnsi"/>
        </w:rPr>
        <w:t>worse than the virus itself.</w:t>
      </w:r>
      <w:r w:rsidR="00BB2A4A">
        <w:rPr>
          <w:rFonts w:asciiTheme="minorHAnsi" w:hAnsiTheme="minorHAnsi" w:cstheme="minorHAnsi"/>
        </w:rPr>
        <w:t xml:space="preserve"> Controlling f</w:t>
      </w:r>
      <w:r w:rsidR="002F7553">
        <w:rPr>
          <w:rFonts w:asciiTheme="minorHAnsi" w:hAnsiTheme="minorHAnsi" w:cstheme="minorHAnsi"/>
        </w:rPr>
        <w:t xml:space="preserve">or </w:t>
      </w:r>
      <w:r w:rsidR="00490E98">
        <w:rPr>
          <w:rFonts w:asciiTheme="minorHAnsi" w:hAnsiTheme="minorHAnsi" w:cstheme="minorHAnsi"/>
        </w:rPr>
        <w:t>demographic variables from the previous model</w:t>
      </w:r>
      <w:r w:rsidR="002F7553">
        <w:rPr>
          <w:rFonts w:asciiTheme="minorHAnsi" w:hAnsiTheme="minorHAnsi" w:cstheme="minorHAnsi"/>
        </w:rPr>
        <w:t>, those uncertain</w:t>
      </w:r>
      <w:r w:rsidR="00C85E77">
        <w:rPr>
          <w:rFonts w:asciiTheme="minorHAnsi" w:hAnsiTheme="minorHAnsi" w:cstheme="minorHAnsi"/>
        </w:rPr>
        <w:t xml:space="preserve"> about</w:t>
      </w:r>
      <w:r w:rsidR="002F7553">
        <w:rPr>
          <w:rFonts w:asciiTheme="minorHAnsi" w:hAnsiTheme="minorHAnsi" w:cstheme="minorHAnsi"/>
        </w:rPr>
        <w:t xml:space="preserve"> the possible period of the crisis were less supportive </w:t>
      </w:r>
      <w:r w:rsidR="002A371D">
        <w:rPr>
          <w:rFonts w:asciiTheme="minorHAnsi" w:hAnsiTheme="minorHAnsi" w:cstheme="minorHAnsi"/>
        </w:rPr>
        <w:t>of</w:t>
      </w:r>
      <w:r w:rsidR="00C85E77">
        <w:rPr>
          <w:rFonts w:asciiTheme="minorHAnsi" w:hAnsiTheme="minorHAnsi" w:cstheme="minorHAnsi"/>
        </w:rPr>
        <w:t xml:space="preserve"> </w:t>
      </w:r>
      <w:r w:rsidR="002F7553">
        <w:rPr>
          <w:rFonts w:asciiTheme="minorHAnsi" w:hAnsiTheme="minorHAnsi" w:cstheme="minorHAnsi"/>
        </w:rPr>
        <w:t>the idea that</w:t>
      </w:r>
      <w:r w:rsidR="002A371D">
        <w:rPr>
          <w:rFonts w:asciiTheme="minorHAnsi" w:hAnsiTheme="minorHAnsi" w:cstheme="minorHAnsi"/>
        </w:rPr>
        <w:t xml:space="preserve"> the</w:t>
      </w:r>
      <w:r w:rsidR="002F7553">
        <w:rPr>
          <w:rFonts w:asciiTheme="minorHAnsi" w:hAnsiTheme="minorHAnsi" w:cstheme="minorHAnsi"/>
        </w:rPr>
        <w:t xml:space="preserve"> </w:t>
      </w:r>
      <w:r w:rsidR="002A371D">
        <w:rPr>
          <w:rFonts w:asciiTheme="minorHAnsi" w:hAnsiTheme="minorHAnsi" w:cstheme="minorHAnsi"/>
        </w:rPr>
        <w:t xml:space="preserve">economic costs of the </w:t>
      </w:r>
      <w:r w:rsidR="002F7553">
        <w:rPr>
          <w:rFonts w:asciiTheme="minorHAnsi" w:hAnsiTheme="minorHAnsi" w:cstheme="minorHAnsi"/>
        </w:rPr>
        <w:t xml:space="preserve">virus </w:t>
      </w:r>
      <w:r w:rsidR="002A371D">
        <w:rPr>
          <w:rFonts w:asciiTheme="minorHAnsi" w:hAnsiTheme="minorHAnsi" w:cstheme="minorHAnsi"/>
        </w:rPr>
        <w:t>were worse than the virus itself</w:t>
      </w:r>
      <w:r w:rsidR="00C85E77">
        <w:rPr>
          <w:rFonts w:asciiTheme="minorHAnsi" w:hAnsiTheme="minorHAnsi" w:cstheme="minorHAnsi"/>
        </w:rPr>
        <w:t xml:space="preserve">. </w:t>
      </w:r>
      <w:r w:rsidR="002F7553">
        <w:rPr>
          <w:rFonts w:asciiTheme="minorHAnsi" w:hAnsiTheme="minorHAnsi" w:cstheme="minorHAnsi"/>
        </w:rPr>
        <w:t xml:space="preserve"> </w:t>
      </w:r>
      <w:r w:rsidR="002A371D">
        <w:rPr>
          <w:rFonts w:asciiTheme="minorHAnsi" w:hAnsiTheme="minorHAnsi" w:cstheme="minorHAnsi"/>
        </w:rPr>
        <w:t>Still</w:t>
      </w:r>
      <w:r w:rsidR="00C85E77">
        <w:rPr>
          <w:rFonts w:asciiTheme="minorHAnsi" w:hAnsiTheme="minorHAnsi" w:cstheme="minorHAnsi"/>
        </w:rPr>
        <w:t xml:space="preserve">, </w:t>
      </w:r>
      <w:r w:rsidR="002A371D">
        <w:rPr>
          <w:rFonts w:asciiTheme="minorHAnsi" w:hAnsiTheme="minorHAnsi" w:cstheme="minorHAnsi"/>
        </w:rPr>
        <w:t xml:space="preserve">a majority of those who were </w:t>
      </w:r>
      <w:r w:rsidR="00C85E77">
        <w:rPr>
          <w:rFonts w:asciiTheme="minorHAnsi" w:hAnsiTheme="minorHAnsi" w:cstheme="minorHAnsi"/>
        </w:rPr>
        <w:t>certain or uncertain about the length of the crisis</w:t>
      </w:r>
      <w:r w:rsidR="002A371D">
        <w:rPr>
          <w:rFonts w:asciiTheme="minorHAnsi" w:hAnsiTheme="minorHAnsi" w:cstheme="minorHAnsi"/>
        </w:rPr>
        <w:t xml:space="preserve"> thought</w:t>
      </w:r>
      <w:r w:rsidR="00C85E77">
        <w:rPr>
          <w:rFonts w:asciiTheme="minorHAnsi" w:hAnsiTheme="minorHAnsi" w:cstheme="minorHAnsi"/>
        </w:rPr>
        <w:t xml:space="preserve"> that economic consequences </w:t>
      </w:r>
      <w:r w:rsidR="002A371D">
        <w:rPr>
          <w:rFonts w:asciiTheme="minorHAnsi" w:hAnsiTheme="minorHAnsi" w:cstheme="minorHAnsi"/>
        </w:rPr>
        <w:t>were worse than</w:t>
      </w:r>
      <w:r w:rsidR="00C85E77">
        <w:rPr>
          <w:rFonts w:asciiTheme="minorHAnsi" w:hAnsiTheme="minorHAnsi" w:cstheme="minorHAnsi"/>
        </w:rPr>
        <w:t xml:space="preserve"> COVID-19</w:t>
      </w:r>
      <w:r w:rsidR="002A371D">
        <w:rPr>
          <w:rFonts w:asciiTheme="minorHAnsi" w:hAnsiTheme="minorHAnsi" w:cstheme="minorHAnsi"/>
        </w:rPr>
        <w:t>’s health implications.</w:t>
      </w:r>
      <w:r w:rsidR="00C85E77">
        <w:rPr>
          <w:rFonts w:asciiTheme="minorHAnsi" w:hAnsiTheme="minorHAnsi" w:cstheme="minorHAnsi"/>
        </w:rPr>
        <w:t xml:space="preserve"> </w:t>
      </w:r>
    </w:p>
    <w:p w14:paraId="50E4F415" w14:textId="77777777" w:rsidR="00551007" w:rsidRDefault="00551007">
      <w:pPr>
        <w:jc w:val="both"/>
        <w:rPr>
          <w:rFonts w:asciiTheme="minorHAnsi" w:hAnsiTheme="minorHAnsi" w:cstheme="minorHAnsi"/>
        </w:rPr>
      </w:pPr>
    </w:p>
    <w:p w14:paraId="78401E75" w14:textId="33B1B8B7" w:rsidR="00551007" w:rsidRDefault="00551007" w:rsidP="00490E98">
      <w:pPr>
        <w:ind w:left="-426"/>
        <w:jc w:val="both"/>
        <w:rPr>
          <w:rFonts w:asciiTheme="minorHAnsi" w:hAnsiTheme="minorHAnsi" w:cstheme="minorHAnsi"/>
        </w:rPr>
      </w:pPr>
      <w:r>
        <w:rPr>
          <w:noProof/>
          <w:lang w:val="en-US"/>
        </w:rPr>
        <w:lastRenderedPageBreak/>
        <w:drawing>
          <wp:inline distT="0" distB="0" distL="0" distR="0" wp14:anchorId="440816C0" wp14:editId="4AEFF32F">
            <wp:extent cx="6788727" cy="4031673"/>
            <wp:effectExtent l="0" t="0" r="0" b="698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EDD77C6" w14:textId="77777777" w:rsidR="00551007" w:rsidRPr="00BB2A4A" w:rsidRDefault="00551007">
      <w:pPr>
        <w:jc w:val="both"/>
        <w:rPr>
          <w:rFonts w:asciiTheme="minorHAnsi" w:hAnsiTheme="minorHAnsi" w:cstheme="minorHAnsi"/>
        </w:rPr>
      </w:pPr>
    </w:p>
    <w:p w14:paraId="5903FEF2" w14:textId="25048D49" w:rsidR="00BB2A4A" w:rsidRPr="00473B37" w:rsidRDefault="00BB2A4A" w:rsidP="00BB2A4A">
      <w:pPr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</w:rPr>
        <w:t>The majority of Georgians were supportive of opening up the economy during the Covid-19 crisis</w:t>
      </w:r>
      <w:r w:rsidR="003C011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and this support was increasing during the</w:t>
      </w:r>
      <w:r w:rsidR="003C0112">
        <w:rPr>
          <w:rFonts w:asciiTheme="minorHAnsi" w:hAnsiTheme="minorHAnsi" w:cstheme="minorHAnsi"/>
        </w:rPr>
        <w:t xml:space="preserve"> period</w:t>
      </w:r>
      <w:r>
        <w:rPr>
          <w:rFonts w:asciiTheme="minorHAnsi" w:hAnsiTheme="minorHAnsi" w:cstheme="minorHAnsi"/>
        </w:rPr>
        <w:t xml:space="preserve"> when the economy was effectively closed. The negative economic impacts of Covid-19 also gained more public attention during this time. </w:t>
      </w:r>
      <w:r w:rsidRPr="00473B37">
        <w:rPr>
          <w:rFonts w:asciiTheme="minorHAnsi" w:hAnsiTheme="minorHAnsi" w:cstheme="minorHAnsi"/>
        </w:rPr>
        <w:t>In general, urban settlement</w:t>
      </w:r>
      <w:r w:rsidR="003C0112">
        <w:rPr>
          <w:rFonts w:asciiTheme="minorHAnsi" w:hAnsiTheme="minorHAnsi" w:cstheme="minorHAnsi"/>
        </w:rPr>
        <w:t>s</w:t>
      </w:r>
      <w:r w:rsidRPr="00473B37">
        <w:rPr>
          <w:rFonts w:asciiTheme="minorHAnsi" w:hAnsiTheme="minorHAnsi" w:cstheme="minorHAnsi"/>
        </w:rPr>
        <w:t xml:space="preserve"> were more </w:t>
      </w:r>
      <w:r w:rsidR="003C0112" w:rsidRPr="00473B37">
        <w:rPr>
          <w:rFonts w:asciiTheme="minorHAnsi" w:hAnsiTheme="minorHAnsi" w:cstheme="minorHAnsi"/>
        </w:rPr>
        <w:t>supporti</w:t>
      </w:r>
      <w:r w:rsidR="003C0112">
        <w:rPr>
          <w:rFonts w:asciiTheme="minorHAnsi" w:hAnsiTheme="minorHAnsi" w:cstheme="minorHAnsi"/>
        </w:rPr>
        <w:t>ve of</w:t>
      </w:r>
      <w:r w:rsidRPr="00473B37">
        <w:rPr>
          <w:rFonts w:asciiTheme="minorHAnsi" w:hAnsiTheme="minorHAnsi" w:cstheme="minorHAnsi"/>
        </w:rPr>
        <w:t xml:space="preserve"> re-start</w:t>
      </w:r>
      <w:r w:rsidR="003C0112">
        <w:rPr>
          <w:rFonts w:asciiTheme="minorHAnsi" w:hAnsiTheme="minorHAnsi" w:cstheme="minorHAnsi"/>
        </w:rPr>
        <w:t>ing</w:t>
      </w:r>
      <w:r w:rsidRPr="00473B37">
        <w:rPr>
          <w:rFonts w:asciiTheme="minorHAnsi" w:hAnsiTheme="minorHAnsi" w:cstheme="minorHAnsi"/>
        </w:rPr>
        <w:t xml:space="preserve"> normal economic activities. </w:t>
      </w:r>
      <w:r w:rsidR="004A3EED">
        <w:rPr>
          <w:rFonts w:asciiTheme="minorHAnsi" w:hAnsiTheme="minorHAnsi" w:cstheme="minorHAnsi"/>
        </w:rPr>
        <w:t>Older people</w:t>
      </w:r>
      <w:r w:rsidRPr="00473B37">
        <w:rPr>
          <w:rFonts w:asciiTheme="minorHAnsi" w:hAnsiTheme="minorHAnsi" w:cstheme="minorHAnsi"/>
        </w:rPr>
        <w:t xml:space="preserve"> were also more prone to agree</w:t>
      </w:r>
      <w:r w:rsidR="003C0112">
        <w:rPr>
          <w:rFonts w:asciiTheme="minorHAnsi" w:hAnsiTheme="minorHAnsi" w:cstheme="minorHAnsi"/>
        </w:rPr>
        <w:t>ing with opening up</w:t>
      </w:r>
      <w:r>
        <w:rPr>
          <w:rFonts w:asciiTheme="minorHAnsi" w:hAnsiTheme="minorHAnsi" w:cstheme="minorHAnsi"/>
        </w:rPr>
        <w:t xml:space="preserve">. </w:t>
      </w:r>
      <w:r w:rsidRPr="00473B37">
        <w:rPr>
          <w:rFonts w:asciiTheme="minorHAnsi" w:hAnsiTheme="minorHAnsi" w:cstheme="minorHAnsi"/>
        </w:rPr>
        <w:t xml:space="preserve">Besides socio-demographic variables, uncertainties associated with the COVID-19 timeline also shaped public opinions. </w:t>
      </w:r>
      <w:r w:rsidR="003C0112">
        <w:rPr>
          <w:rFonts w:asciiTheme="minorHAnsi" w:hAnsiTheme="minorHAnsi" w:cstheme="minorHAnsi"/>
        </w:rPr>
        <w:t>U</w:t>
      </w:r>
      <w:r w:rsidRPr="00473B37">
        <w:rPr>
          <w:rFonts w:asciiTheme="minorHAnsi" w:hAnsiTheme="minorHAnsi" w:cstheme="minorHAnsi"/>
        </w:rPr>
        <w:t>ncertain</w:t>
      </w:r>
      <w:r w:rsidR="003C0112">
        <w:rPr>
          <w:rFonts w:asciiTheme="minorHAnsi" w:hAnsiTheme="minorHAnsi" w:cstheme="minorHAnsi"/>
        </w:rPr>
        <w:t xml:space="preserve"> people</w:t>
      </w:r>
      <w:r w:rsidR="003C0112" w:rsidRPr="00473B37">
        <w:rPr>
          <w:rFonts w:asciiTheme="minorHAnsi" w:hAnsiTheme="minorHAnsi" w:cstheme="minorHAnsi"/>
        </w:rPr>
        <w:t xml:space="preserve"> </w:t>
      </w:r>
      <w:r w:rsidRPr="00473B37">
        <w:rPr>
          <w:rFonts w:asciiTheme="minorHAnsi" w:hAnsiTheme="minorHAnsi" w:cstheme="minorHAnsi"/>
        </w:rPr>
        <w:t>generally tend</w:t>
      </w:r>
      <w:r w:rsidR="003C0112">
        <w:rPr>
          <w:rFonts w:asciiTheme="minorHAnsi" w:hAnsiTheme="minorHAnsi" w:cstheme="minorHAnsi"/>
        </w:rPr>
        <w:t>ed</w:t>
      </w:r>
      <w:r w:rsidRPr="00473B37">
        <w:rPr>
          <w:rFonts w:asciiTheme="minorHAnsi" w:hAnsiTheme="minorHAnsi" w:cstheme="minorHAnsi"/>
        </w:rPr>
        <w:t xml:space="preserve"> to disagree with the idea that</w:t>
      </w:r>
      <w:r w:rsidR="003C0112">
        <w:rPr>
          <w:rFonts w:asciiTheme="minorHAnsi" w:hAnsiTheme="minorHAnsi" w:cstheme="minorHAnsi"/>
        </w:rPr>
        <w:t xml:space="preserve"> the</w:t>
      </w:r>
      <w:r w:rsidRPr="00473B37">
        <w:rPr>
          <w:rFonts w:asciiTheme="minorHAnsi" w:hAnsiTheme="minorHAnsi" w:cstheme="minorHAnsi"/>
        </w:rPr>
        <w:t xml:space="preserve"> economic costs </w:t>
      </w:r>
      <w:r w:rsidR="003C0112" w:rsidRPr="00473B37">
        <w:rPr>
          <w:rFonts w:asciiTheme="minorHAnsi" w:hAnsiTheme="minorHAnsi" w:cstheme="minorHAnsi"/>
        </w:rPr>
        <w:t>w</w:t>
      </w:r>
      <w:r w:rsidR="003C0112">
        <w:rPr>
          <w:rFonts w:asciiTheme="minorHAnsi" w:hAnsiTheme="minorHAnsi" w:cstheme="minorHAnsi"/>
        </w:rPr>
        <w:t>ere</w:t>
      </w:r>
      <w:r w:rsidRPr="00473B37">
        <w:rPr>
          <w:rFonts w:asciiTheme="minorHAnsi" w:hAnsiTheme="minorHAnsi" w:cstheme="minorHAnsi"/>
        </w:rPr>
        <w:t xml:space="preserve"> harsher than </w:t>
      </w:r>
      <w:r w:rsidR="003C0112">
        <w:rPr>
          <w:rFonts w:asciiTheme="minorHAnsi" w:hAnsiTheme="minorHAnsi" w:cstheme="minorHAnsi"/>
        </w:rPr>
        <w:t xml:space="preserve">the </w:t>
      </w:r>
      <w:r w:rsidRPr="00473B37">
        <w:rPr>
          <w:rFonts w:asciiTheme="minorHAnsi" w:hAnsiTheme="minorHAnsi" w:cstheme="minorHAnsi"/>
        </w:rPr>
        <w:t>virus itself.</w:t>
      </w:r>
      <w:r w:rsidRPr="00473B37">
        <w:rPr>
          <w:rFonts w:asciiTheme="minorHAnsi" w:hAnsiTheme="minorHAnsi" w:cstheme="minorHAnsi"/>
          <w:b/>
          <w:bCs/>
        </w:rPr>
        <w:t xml:space="preserve"> </w:t>
      </w:r>
    </w:p>
    <w:p w14:paraId="3DB1F73E" w14:textId="77777777" w:rsidR="00500AA0" w:rsidRPr="00473B37" w:rsidRDefault="00500AA0" w:rsidP="003C1DBF">
      <w:pPr>
        <w:jc w:val="both"/>
        <w:rPr>
          <w:rFonts w:asciiTheme="minorHAnsi" w:hAnsiTheme="minorHAnsi" w:cstheme="minorHAnsi"/>
          <w:bCs/>
        </w:rPr>
      </w:pPr>
    </w:p>
    <w:p w14:paraId="6F66C85B" w14:textId="73E6C1EE" w:rsidR="00500AA0" w:rsidRPr="00B90AAB" w:rsidRDefault="00500AA0" w:rsidP="003C1DBF">
      <w:pPr>
        <w:jc w:val="both"/>
        <w:rPr>
          <w:rFonts w:asciiTheme="minorHAnsi" w:hAnsiTheme="minorHAnsi" w:cstheme="minorHAnsi"/>
        </w:rPr>
      </w:pPr>
      <w:r w:rsidRPr="00B90AAB">
        <w:rPr>
          <w:rFonts w:asciiTheme="minorHAnsi" w:hAnsiTheme="minorHAnsi" w:cstheme="minorHAnsi"/>
        </w:rPr>
        <w:t>The data presented in this blog post is available </w:t>
      </w:r>
      <w:hyperlink r:id="rId14" w:history="1">
        <w:r w:rsidRPr="00B90AAB">
          <w:rPr>
            <w:rStyle w:val="Hyperlink"/>
            <w:rFonts w:asciiTheme="minorHAnsi" w:hAnsiTheme="minorHAnsi" w:cstheme="minorHAnsi"/>
          </w:rPr>
          <w:t>here</w:t>
        </w:r>
      </w:hyperlink>
      <w:r w:rsidRPr="00B90AAB">
        <w:rPr>
          <w:rFonts w:asciiTheme="minorHAnsi" w:hAnsiTheme="minorHAnsi" w:cstheme="minorHAnsi"/>
        </w:rPr>
        <w:t>. Replication code for the above analysis is available </w:t>
      </w:r>
      <w:hyperlink r:id="rId15" w:history="1">
        <w:r w:rsidRPr="00B90AAB">
          <w:rPr>
            <w:rStyle w:val="Hyperlink"/>
            <w:rFonts w:asciiTheme="minorHAnsi" w:hAnsiTheme="minorHAnsi" w:cstheme="minorHAnsi"/>
          </w:rPr>
          <w:t>here</w:t>
        </w:r>
      </w:hyperlink>
      <w:r w:rsidRPr="00B90AAB">
        <w:rPr>
          <w:rFonts w:asciiTheme="minorHAnsi" w:hAnsiTheme="minorHAnsi" w:cstheme="minorHAnsi"/>
        </w:rPr>
        <w:t>.</w:t>
      </w:r>
    </w:p>
    <w:sectPr w:rsidR="00500AA0" w:rsidRPr="00B9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0C951" w16cex:dateUtc="2020-07-20T21:54:00Z"/>
  <w16cex:commentExtensible w16cex:durableId="22C0C8D8" w16cex:dateUtc="2020-07-20T21:52:00Z"/>
  <w16cex:commentExtensible w16cex:durableId="22CD187A" w16cex:dateUtc="2020-07-30T05:59:00Z"/>
  <w16cex:commentExtensible w16cex:durableId="22C0C6CE" w16cex:dateUtc="2020-07-20T21:43:00Z"/>
  <w16cex:commentExtensible w16cex:durableId="22C0C75B" w16cex:dateUtc="2020-07-20T21:46:00Z"/>
  <w16cex:commentExtensible w16cex:durableId="22CD1932" w16cex:dateUtc="2020-07-30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10F2EE" w16cid:durableId="22C0C951"/>
  <w16cid:commentId w16cid:paraId="214C9CF4" w16cid:durableId="22C0C8D8"/>
  <w16cid:commentId w16cid:paraId="3316F28A" w16cid:durableId="22CD17F8"/>
  <w16cid:commentId w16cid:paraId="1360409A" w16cid:durableId="22CD187A"/>
  <w16cid:commentId w16cid:paraId="66CE1378" w16cid:durableId="22C0C6CE"/>
  <w16cid:commentId w16cid:paraId="230482AC" w16cid:durableId="22CD17FA"/>
  <w16cid:commentId w16cid:paraId="3080E161" w16cid:durableId="22C0C75B"/>
  <w16cid:commentId w16cid:paraId="3837DB19" w16cid:durableId="22CD17FC"/>
  <w16cid:commentId w16cid:paraId="790E3BB5" w16cid:durableId="22CD1932"/>
  <w16cid:commentId w16cid:paraId="049A5831" w16cid:durableId="22C0C4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84"/>
    <w:rsid w:val="00001C7E"/>
    <w:rsid w:val="0002492C"/>
    <w:rsid w:val="00047EA6"/>
    <w:rsid w:val="000760BD"/>
    <w:rsid w:val="000B2EDB"/>
    <w:rsid w:val="00181033"/>
    <w:rsid w:val="001820C9"/>
    <w:rsid w:val="00295184"/>
    <w:rsid w:val="002A371D"/>
    <w:rsid w:val="002D4670"/>
    <w:rsid w:val="002F7553"/>
    <w:rsid w:val="00367ED5"/>
    <w:rsid w:val="003B696C"/>
    <w:rsid w:val="003C0112"/>
    <w:rsid w:val="003C1DBF"/>
    <w:rsid w:val="003F5054"/>
    <w:rsid w:val="004315B5"/>
    <w:rsid w:val="004725FB"/>
    <w:rsid w:val="00473B37"/>
    <w:rsid w:val="00490E98"/>
    <w:rsid w:val="004A3EED"/>
    <w:rsid w:val="004A7F4F"/>
    <w:rsid w:val="004B3A33"/>
    <w:rsid w:val="00500AA0"/>
    <w:rsid w:val="00551007"/>
    <w:rsid w:val="005739CC"/>
    <w:rsid w:val="00593A07"/>
    <w:rsid w:val="005D067C"/>
    <w:rsid w:val="0061768C"/>
    <w:rsid w:val="006673FE"/>
    <w:rsid w:val="00680696"/>
    <w:rsid w:val="00686E20"/>
    <w:rsid w:val="006C6303"/>
    <w:rsid w:val="00702A89"/>
    <w:rsid w:val="00707B65"/>
    <w:rsid w:val="00716D80"/>
    <w:rsid w:val="00724EE7"/>
    <w:rsid w:val="00771367"/>
    <w:rsid w:val="007826AA"/>
    <w:rsid w:val="007D4D7C"/>
    <w:rsid w:val="00815856"/>
    <w:rsid w:val="008565EB"/>
    <w:rsid w:val="00860330"/>
    <w:rsid w:val="00931734"/>
    <w:rsid w:val="00953194"/>
    <w:rsid w:val="009616F8"/>
    <w:rsid w:val="00964F82"/>
    <w:rsid w:val="009C4658"/>
    <w:rsid w:val="00A04BE7"/>
    <w:rsid w:val="00A13095"/>
    <w:rsid w:val="00A86075"/>
    <w:rsid w:val="00AA0607"/>
    <w:rsid w:val="00AC0AE7"/>
    <w:rsid w:val="00B4039E"/>
    <w:rsid w:val="00B90AAB"/>
    <w:rsid w:val="00BB2A4A"/>
    <w:rsid w:val="00C85E77"/>
    <w:rsid w:val="00C97E0C"/>
    <w:rsid w:val="00D75EC4"/>
    <w:rsid w:val="00DA0CF4"/>
    <w:rsid w:val="00E35519"/>
    <w:rsid w:val="00E41D3F"/>
    <w:rsid w:val="00E76A11"/>
    <w:rsid w:val="00E80649"/>
    <w:rsid w:val="00E943DB"/>
    <w:rsid w:val="00EB5512"/>
    <w:rsid w:val="00E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06B55C"/>
  <w15:chartTrackingRefBased/>
  <w15:docId w15:val="{E10A7533-DF6B-4AC8-ADC8-5C162F13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97E0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5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E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EC4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5EC4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E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EC4"/>
    <w:rPr>
      <w:rFonts w:ascii="Segoe UI" w:eastAsia="Arial" w:hAnsi="Segoe UI" w:cs="Segoe UI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500A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0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ucasusbarometer.org/en/cv2020w3/codebook/" TargetMode="External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hyperlink" Target="https://caucasusbarometer.org/en/cv2020w4/CVFDACV/" TargetMode="External"/><Relationship Id="rId12" Type="http://schemas.openxmlformats.org/officeDocument/2006/relationships/hyperlink" Target="https://caucasusbarometer.org/en/cv2020w3/CVLLA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hyperlink" Target="https://caucasusbarometer.org/en/cv2020w4/FINWORRY/" TargetMode="External"/><Relationship Id="rId11" Type="http://schemas.openxmlformats.org/officeDocument/2006/relationships/hyperlink" Target="https://caucasusbarometer.org/en/cv2020w2/CVLLAST/" TargetMode="External"/><Relationship Id="rId5" Type="http://schemas.openxmlformats.org/officeDocument/2006/relationships/hyperlink" Target="https://caucasusbarometer.org/en/cv2020w4/CVLSJOB/" TargetMode="External"/><Relationship Id="rId15" Type="http://schemas.openxmlformats.org/officeDocument/2006/relationships/hyperlink" Target="https://github.com/crrcgeorgia/covid_economy" TargetMode="External"/><Relationship Id="rId10" Type="http://schemas.openxmlformats.org/officeDocument/2006/relationships/chart" Target="charts/chart2.xml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s://caucasusbarometer.org/en/cv2020w3/codebook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ati\Blog\Blog%2024\charts%20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Rati\Blog\Blog%2024\charts%2024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ati\Blog\Blog%2024\charts%202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ysClr val="windowText" lastClr="000000"/>
                </a:solidFill>
                <a:latin typeface="Gill Sans MT" panose="020B0502020104020203" pitchFamily="34" charset="0"/>
                <a:ea typeface="+mn-ea"/>
                <a:cs typeface="+mn-cs"/>
              </a:defRPr>
            </a:pPr>
            <a:r>
              <a:rPr lang="en-US" sz="1400" b="1"/>
              <a:t>Opening the economy versus letting the virus to subside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ysClr val="windowText" lastClr="000000"/>
              </a:solidFill>
              <a:latin typeface="Gill Sans MT" panose="020B0502020104020203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477449002605582"/>
          <c:y val="0.18071700209459288"/>
          <c:w val="0.82020778002261363"/>
          <c:h val="0.8171920271780094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Sheet1!$J$9</c:f>
              <c:strCache>
                <c:ptCount val="1"/>
                <c:pt idx="0">
                  <c:v>Strongly agree</c:v>
                </c:pt>
              </c:strCache>
            </c:strRef>
          </c:tx>
          <c:spPr>
            <a:solidFill>
              <a:srgbClr val="05949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Gill Sans MT" panose="020B050202010402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Sheet1!$H$10:$I$13</c:f>
              <c:multiLvlStrCache>
                <c:ptCount val="4"/>
                <c:lvl>
                  <c:pt idx="0">
                    <c:v>May 7 - May 10</c:v>
                  </c:pt>
                  <c:pt idx="1">
                    <c:v>May 14 - May 17
</c:v>
                  </c:pt>
                  <c:pt idx="2">
                    <c:v>May 7 - May 10</c:v>
                  </c:pt>
                  <c:pt idx="3">
                    <c:v>May 14 - May 17
</c:v>
                  </c:pt>
                </c:lvl>
                <c:lvl>
                  <c:pt idx="0">
                    <c:v>It is more important to wait for the Coronavirus to subside than to open up the economy</c:v>
                  </c:pt>
                  <c:pt idx="2">
                    <c:v>The economic costs of the Coronavirus are worse than the virus itself  </c:v>
                  </c:pt>
                </c:lvl>
              </c:multiLvlStrCache>
            </c:multiLvlStrRef>
          </c:cat>
          <c:val>
            <c:numRef>
              <c:f>Sheet1!$J$10:$J$13</c:f>
              <c:numCache>
                <c:formatCode>0</c:formatCode>
                <c:ptCount val="4"/>
                <c:pt idx="0">
                  <c:v>3.8717999999999999</c:v>
                </c:pt>
                <c:pt idx="1">
                  <c:v>2.8530000000000002</c:v>
                </c:pt>
                <c:pt idx="2">
                  <c:v>9.0192999999999994</c:v>
                </c:pt>
                <c:pt idx="3">
                  <c:v>14.879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6ED-4B45-A5D8-8998337502E3}"/>
            </c:ext>
          </c:extLst>
        </c:ser>
        <c:ser>
          <c:idx val="1"/>
          <c:order val="1"/>
          <c:tx>
            <c:strRef>
              <c:f>Sheet1!$K$9</c:f>
              <c:strCache>
                <c:ptCount val="1"/>
                <c:pt idx="0">
                  <c:v>Agree</c:v>
                </c:pt>
              </c:strCache>
            </c:strRef>
          </c:tx>
          <c:spPr>
            <a:solidFill>
              <a:srgbClr val="7FA998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Gill Sans MT" panose="020B050202010402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Sheet1!$H$10:$I$13</c:f>
              <c:multiLvlStrCache>
                <c:ptCount val="4"/>
                <c:lvl>
                  <c:pt idx="0">
                    <c:v>May 7 - May 10</c:v>
                  </c:pt>
                  <c:pt idx="1">
                    <c:v>May 14 - May 17
</c:v>
                  </c:pt>
                  <c:pt idx="2">
                    <c:v>May 7 - May 10</c:v>
                  </c:pt>
                  <c:pt idx="3">
                    <c:v>May 14 - May 17
</c:v>
                  </c:pt>
                </c:lvl>
                <c:lvl>
                  <c:pt idx="0">
                    <c:v>It is more important to wait for the Coronavirus to subside than to open up the economy</c:v>
                  </c:pt>
                  <c:pt idx="2">
                    <c:v>The economic costs of the Coronavirus are worse than the virus itself  </c:v>
                  </c:pt>
                </c:lvl>
              </c:multiLvlStrCache>
            </c:multiLvlStrRef>
          </c:cat>
          <c:val>
            <c:numRef>
              <c:f>Sheet1!$K$10:$K$13</c:f>
              <c:numCache>
                <c:formatCode>0</c:formatCode>
                <c:ptCount val="4"/>
                <c:pt idx="0">
                  <c:v>30.141300000000001</c:v>
                </c:pt>
                <c:pt idx="1">
                  <c:v>22.919</c:v>
                </c:pt>
                <c:pt idx="2">
                  <c:v>41.546100000000003</c:v>
                </c:pt>
                <c:pt idx="3">
                  <c:v>49.336739999999999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6ED-4B45-A5D8-8998337502E3}"/>
            </c:ext>
          </c:extLst>
        </c:ser>
        <c:ser>
          <c:idx val="2"/>
          <c:order val="2"/>
          <c:tx>
            <c:strRef>
              <c:f>Sheet1!$L$9</c:f>
              <c:strCache>
                <c:ptCount val="1"/>
                <c:pt idx="0">
                  <c:v>Disagree</c:v>
                </c:pt>
              </c:strCache>
            </c:strRef>
          </c:tx>
          <c:spPr>
            <a:solidFill>
              <a:srgbClr val="CB8E3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Gill Sans MT" panose="020B050202010402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Sheet1!$H$10:$I$13</c:f>
              <c:multiLvlStrCache>
                <c:ptCount val="4"/>
                <c:lvl>
                  <c:pt idx="0">
                    <c:v>May 7 - May 10</c:v>
                  </c:pt>
                  <c:pt idx="1">
                    <c:v>May 14 - May 17
</c:v>
                  </c:pt>
                  <c:pt idx="2">
                    <c:v>May 7 - May 10</c:v>
                  </c:pt>
                  <c:pt idx="3">
                    <c:v>May 14 - May 17
</c:v>
                  </c:pt>
                </c:lvl>
                <c:lvl>
                  <c:pt idx="0">
                    <c:v>It is more important to wait for the Coronavirus to subside than to open up the economy</c:v>
                  </c:pt>
                  <c:pt idx="2">
                    <c:v>The economic costs of the Coronavirus are worse than the virus itself  </c:v>
                  </c:pt>
                </c:lvl>
              </c:multiLvlStrCache>
            </c:multiLvlStrRef>
          </c:cat>
          <c:val>
            <c:numRef>
              <c:f>Sheet1!$L$10:$L$13</c:f>
              <c:numCache>
                <c:formatCode>0</c:formatCode>
                <c:ptCount val="4"/>
                <c:pt idx="0">
                  <c:v>48.822099999999999</c:v>
                </c:pt>
                <c:pt idx="1">
                  <c:v>55.018999999999998</c:v>
                </c:pt>
                <c:pt idx="2">
                  <c:v>32.667900000000003</c:v>
                </c:pt>
                <c:pt idx="3">
                  <c:v>22.625640000000001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F6ED-4B45-A5D8-8998337502E3}"/>
            </c:ext>
          </c:extLst>
        </c:ser>
        <c:ser>
          <c:idx val="3"/>
          <c:order val="3"/>
          <c:tx>
            <c:strRef>
              <c:f>Sheet1!$M$9</c:f>
              <c:strCache>
                <c:ptCount val="1"/>
                <c:pt idx="0">
                  <c:v>Strongly disagree</c:v>
                </c:pt>
              </c:strCache>
            </c:strRef>
          </c:tx>
          <c:spPr>
            <a:solidFill>
              <a:srgbClr val="93003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Gill Sans MT" panose="020B050202010402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Sheet1!$H$10:$I$13</c:f>
              <c:multiLvlStrCache>
                <c:ptCount val="4"/>
                <c:lvl>
                  <c:pt idx="0">
                    <c:v>May 7 - May 10</c:v>
                  </c:pt>
                  <c:pt idx="1">
                    <c:v>May 14 - May 17
</c:v>
                  </c:pt>
                  <c:pt idx="2">
                    <c:v>May 7 - May 10</c:v>
                  </c:pt>
                  <c:pt idx="3">
                    <c:v>May 14 - May 17
</c:v>
                  </c:pt>
                </c:lvl>
                <c:lvl>
                  <c:pt idx="0">
                    <c:v>It is more important to wait for the Coronavirus to subside than to open up the economy</c:v>
                  </c:pt>
                  <c:pt idx="2">
                    <c:v>The economic costs of the Coronavirus are worse than the virus itself  </c:v>
                  </c:pt>
                </c:lvl>
              </c:multiLvlStrCache>
            </c:multiLvlStrRef>
          </c:cat>
          <c:val>
            <c:numRef>
              <c:f>Sheet1!$M$10:$M$13</c:f>
              <c:numCache>
                <c:formatCode>0</c:formatCode>
                <c:ptCount val="4"/>
                <c:pt idx="0">
                  <c:v>8.1305999999999994</c:v>
                </c:pt>
                <c:pt idx="1">
                  <c:v>13.217000000000001</c:v>
                </c:pt>
                <c:pt idx="2">
                  <c:v>1.7406999999999999</c:v>
                </c:pt>
                <c:pt idx="3">
                  <c:v>1.62083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6ED-4B45-A5D8-8998337502E3}"/>
            </c:ext>
          </c:extLst>
        </c:ser>
        <c:ser>
          <c:idx val="4"/>
          <c:order val="4"/>
          <c:tx>
            <c:strRef>
              <c:f>Sheet1!$N$9</c:f>
              <c:strCache>
                <c:ptCount val="1"/>
                <c:pt idx="0">
                  <c:v>DK</c:v>
                </c:pt>
              </c:strCache>
            </c:strRef>
          </c:tx>
          <c:spPr>
            <a:solidFill>
              <a:srgbClr val="7F8198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Gill Sans MT" panose="020B050202010402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Sheet1!$H$10:$I$13</c:f>
              <c:multiLvlStrCache>
                <c:ptCount val="4"/>
                <c:lvl>
                  <c:pt idx="0">
                    <c:v>May 7 - May 10</c:v>
                  </c:pt>
                  <c:pt idx="1">
                    <c:v>May 14 - May 17
</c:v>
                  </c:pt>
                  <c:pt idx="2">
                    <c:v>May 7 - May 10</c:v>
                  </c:pt>
                  <c:pt idx="3">
                    <c:v>May 14 - May 17
</c:v>
                  </c:pt>
                </c:lvl>
                <c:lvl>
                  <c:pt idx="0">
                    <c:v>It is more important to wait for the Coronavirus to subside than to open up the economy</c:v>
                  </c:pt>
                  <c:pt idx="2">
                    <c:v>The economic costs of the Coronavirus are worse than the virus itself  </c:v>
                  </c:pt>
                </c:lvl>
              </c:multiLvlStrCache>
            </c:multiLvlStrRef>
          </c:cat>
          <c:val>
            <c:numRef>
              <c:f>Sheet1!$N$10:$N$13</c:f>
              <c:numCache>
                <c:formatCode>0</c:formatCode>
                <c:ptCount val="4"/>
                <c:pt idx="0">
                  <c:v>8.7121999999999993</c:v>
                </c:pt>
                <c:pt idx="1">
                  <c:v>5.992</c:v>
                </c:pt>
                <c:pt idx="2">
                  <c:v>14.866099999999999</c:v>
                </c:pt>
                <c:pt idx="3">
                  <c:v>11.438969999999999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F6ED-4B45-A5D8-8998337502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2"/>
        <c:overlap val="100"/>
        <c:axId val="-741478672"/>
        <c:axId val="-741481392"/>
      </c:barChart>
      <c:catAx>
        <c:axId val="-741478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Gill Sans MT" panose="020B0502020104020203" pitchFamily="34" charset="0"/>
                <a:ea typeface="+mn-ea"/>
                <a:cs typeface="+mn-cs"/>
              </a:defRPr>
            </a:pPr>
            <a:endParaRPr lang="en-US"/>
          </a:p>
        </c:txPr>
        <c:crossAx val="-741481392"/>
        <c:crosses val="autoZero"/>
        <c:auto val="1"/>
        <c:lblAlgn val="ctr"/>
        <c:lblOffset val="100"/>
        <c:noMultiLvlLbl val="0"/>
      </c:catAx>
      <c:valAx>
        <c:axId val="-741481392"/>
        <c:scaling>
          <c:orientation val="minMax"/>
          <c:max val="100"/>
        </c:scaling>
        <c:delete val="1"/>
        <c:axPos val="b"/>
        <c:numFmt formatCode="0" sourceLinked="1"/>
        <c:majorTickMark val="none"/>
        <c:minorTickMark val="none"/>
        <c:tickLblPos val="nextTo"/>
        <c:crossAx val="-74147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4969395620103537"/>
          <c:y val="0.12619810511078899"/>
          <c:w val="0.69183155890486892"/>
          <c:h val="4.72503405647991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Gill Sans MT" panose="020B05020201040202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 b="0">
          <a:solidFill>
            <a:sysClr val="windowText" lastClr="000000"/>
          </a:solidFill>
          <a:latin typeface="Gill Sans MT" panose="020B0502020104020203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Gill Sans MT" panose="020B0502020104020203"/>
                <a:ea typeface="+mn-ea"/>
                <a:cs typeface="+mn-cs"/>
              </a:defRPr>
            </a:pPr>
            <a:r>
              <a:rPr lang="en-US" sz="1400" b="1" i="0" u="none" strike="noStrike" kern="1200" spc="0" baseline="0">
                <a:solidFill>
                  <a:sysClr val="windowText" lastClr="000000"/>
                </a:solidFill>
                <a:effectLst/>
                <a:latin typeface="Gill Sans MT" panose="020B0502020104020203"/>
                <a:ea typeface="+mn-ea"/>
                <a:cs typeface="+mn-cs"/>
              </a:rPr>
              <a:t>Predicted probabilities of agreement with the statment that "It is more important to wait for COVID-19 to subside than to open up the economy" by settlement type and age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Gill Sans MT" panose="020B0502020104020203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2457815722227651E-2"/>
          <c:y val="0.23821220074763383"/>
          <c:w val="0.93839018437385635"/>
          <c:h val="0.6147222743667468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ill Sans MT" panose="020B0502020104020203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'wav3 models'!$N$7:$O$15</c:f>
              <c:multiLvlStrCache>
                <c:ptCount val="6"/>
                <c:lvl>
                  <c:pt idx="0">
                    <c:v>Capital</c:v>
                  </c:pt>
                  <c:pt idx="1">
                    <c:v>Urban</c:v>
                  </c:pt>
                  <c:pt idx="2">
                    <c:v>Rural</c:v>
                  </c:pt>
                  <c:pt idx="3">
                    <c:v>18 </c:v>
                  </c:pt>
                  <c:pt idx="4">
                    <c:v>35</c:v>
                  </c:pt>
                  <c:pt idx="5">
                    <c:v>65</c:v>
                  </c:pt>
                </c:lvl>
                <c:lvl>
                  <c:pt idx="0">
                    <c:v>Settlement type</c:v>
                  </c:pt>
                  <c:pt idx="3">
                    <c:v>Age</c:v>
                  </c:pt>
                </c:lvl>
              </c:multiLvlStrCache>
              <c:extLst xmlns:c16r2="http://schemas.microsoft.com/office/drawing/2015/06/chart"/>
            </c:multiLvlStrRef>
          </c:cat>
          <c:val>
            <c:numRef>
              <c:f>'wav3 models'!$P$7:$P$15</c:f>
              <c:numCache>
                <c:formatCode>0</c:formatCode>
                <c:ptCount val="6"/>
                <c:pt idx="0">
                  <c:v>19.812519999999999</c:v>
                </c:pt>
                <c:pt idx="1">
                  <c:v>24.878790000000002</c:v>
                </c:pt>
                <c:pt idx="2">
                  <c:v>30.924410000000002</c:v>
                </c:pt>
                <c:pt idx="3">
                  <c:v>36.182750000000006</c:v>
                </c:pt>
                <c:pt idx="4">
                  <c:v>29.49653</c:v>
                </c:pt>
                <c:pt idx="5">
                  <c:v>19.625980000000002</c:v>
                </c:pt>
              </c:numCache>
              <c:extLst xmlns:c16r2="http://schemas.microsoft.com/office/drawing/2015/06/chart"/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F09-4ABF-8024-CB18CC50B3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741486288"/>
        <c:axId val="-741475952"/>
      </c:barChart>
      <c:catAx>
        <c:axId val="-741486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Gill Sans MT" panose="020B0502020104020203"/>
                <a:ea typeface="+mn-ea"/>
                <a:cs typeface="+mn-cs"/>
              </a:defRPr>
            </a:pPr>
            <a:endParaRPr lang="en-US"/>
          </a:p>
        </c:txPr>
        <c:crossAx val="-741475952"/>
        <c:crosses val="autoZero"/>
        <c:auto val="1"/>
        <c:lblAlgn val="ctr"/>
        <c:lblOffset val="100"/>
        <c:noMultiLvlLbl val="0"/>
      </c:catAx>
      <c:valAx>
        <c:axId val="-74147595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Gill Sans MT" panose="020B0502020104020203"/>
                <a:ea typeface="+mn-ea"/>
                <a:cs typeface="+mn-cs"/>
              </a:defRPr>
            </a:pPr>
            <a:endParaRPr lang="en-US"/>
          </a:p>
        </c:txPr>
        <c:crossAx val="-741486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Predicted probabilities of agreement with the statment that "The economic costs of COVID-19 are worse than the virus itself" by certain and unceratian answer regarding the lenght of COVID-19 outbreak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515472928971413E-2"/>
          <c:y val="0.19614141414141414"/>
          <c:w val="0.94871193754633132"/>
          <c:h val="0.716992223790630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data1!$C$26</c:f>
              <c:strCache>
                <c:ptCount val="1"/>
                <c:pt idx="0">
                  <c:v>May 14 - May 17
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data1!$B$27:$B$30</c:f>
              <c:strCache>
                <c:ptCount val="2"/>
                <c:pt idx="0">
                  <c:v>Uncertainty regarding the how long  COVID-19 Crisis will last   </c:v>
                </c:pt>
                <c:pt idx="1">
                  <c:v>Certainty regarding the how long  COVID-19 Crisis will last   </c:v>
                </c:pt>
              </c:strCache>
              <c:extLst xmlns:c16r2="http://schemas.microsoft.com/office/drawing/2015/06/chart"/>
            </c:strRef>
          </c:cat>
          <c:val>
            <c:numRef>
              <c:f>data1!$C$27:$C$30</c:f>
              <c:numCache>
                <c:formatCode>0</c:formatCode>
                <c:ptCount val="2"/>
                <c:pt idx="0">
                  <c:v>60.244730000000004</c:v>
                </c:pt>
                <c:pt idx="1">
                  <c:v>67.879860000000008</c:v>
                </c:pt>
              </c:numCache>
              <c:extLst xmlns:c16r2="http://schemas.microsoft.com/office/drawing/2015/06/chart"/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37F-43FF-8FFD-1B3A57FC84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741475408"/>
        <c:axId val="-741483024"/>
      </c:barChart>
      <c:catAx>
        <c:axId val="-74147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41483024"/>
        <c:crosses val="autoZero"/>
        <c:auto val="1"/>
        <c:lblAlgn val="ctr"/>
        <c:lblOffset val="100"/>
        <c:noMultiLvlLbl val="0"/>
      </c:catAx>
      <c:valAx>
        <c:axId val="-74148302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4147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3B2F470-50D8-4997-930F-F8B1C2DE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Shubladze</dc:creator>
  <cp:keywords/>
  <dc:description/>
  <cp:lastModifiedBy>Rati Shubladze</cp:lastModifiedBy>
  <cp:revision>5</cp:revision>
  <dcterms:created xsi:type="dcterms:W3CDTF">2020-07-30T06:40:00Z</dcterms:created>
  <dcterms:modified xsi:type="dcterms:W3CDTF">2020-08-04T06:53:00Z</dcterms:modified>
</cp:coreProperties>
</file>