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6A0907" w14:textId="3F2F1DB1" w:rsidR="00F51878" w:rsidRPr="005311B6" w:rsidRDefault="005311B6">
      <w:pPr>
        <w:rPr>
          <w:lang w:val="ka-GE"/>
        </w:rPr>
      </w:pPr>
      <w:r>
        <w:rPr>
          <w:lang w:val="en-GB"/>
        </w:rPr>
        <w:t>As political campaigning moves to Facebook</w:t>
      </w:r>
      <w:r w:rsidR="00892771">
        <w:rPr>
          <w:lang w:val="en-GB"/>
        </w:rPr>
        <w:t xml:space="preserve"> as a result of Covid-19</w:t>
      </w:r>
      <w:r>
        <w:rPr>
          <w:lang w:val="en-GB"/>
        </w:rPr>
        <w:t>, will polarization increase?</w:t>
      </w:r>
    </w:p>
    <w:p w14:paraId="02937C68" w14:textId="1FF6DAAB" w:rsidR="00C73CD6" w:rsidRDefault="00C73CD6" w:rsidP="00C73CD6">
      <w:r>
        <w:t>With Georgia in an electi</w:t>
      </w:r>
      <w:bookmarkStart w:id="0" w:name="_GoBack"/>
      <w:bookmarkEnd w:id="0"/>
      <w:r>
        <w:t xml:space="preserve">on year and traditional face to face campaigning out of the question given the Covid-19 outbreak, the importance of Facebook in Georgian politics is only likely to grow. </w:t>
      </w:r>
      <w:r w:rsidR="00113309">
        <w:t xml:space="preserve">Facebook is an important part of Georgian politics. Political campaigns are fought, and public opinion </w:t>
      </w:r>
      <w:r w:rsidR="00711A57">
        <w:t xml:space="preserve">thought to often be </w:t>
      </w:r>
      <w:r w:rsidR="00113309">
        <w:t>formed</w:t>
      </w:r>
      <w:r w:rsidR="00711A57">
        <w:t xml:space="preserve"> on the platform</w:t>
      </w:r>
      <w:r w:rsidR="00113309">
        <w:t>.</w:t>
      </w:r>
      <w:r w:rsidR="00BE7D4E">
        <w:t xml:space="preserve"> </w:t>
      </w:r>
      <w:r>
        <w:t xml:space="preserve">The Government of Georgia and the ruling Georgian Dream party found it so important that they even set up numerous </w:t>
      </w:r>
      <w:hyperlink r:id="rId4" w:history="1">
        <w:r w:rsidRPr="00BE7D4E">
          <w:rPr>
            <w:rStyle w:val="Hyperlink"/>
          </w:rPr>
          <w:t>fake accounts posing as news sources</w:t>
        </w:r>
      </w:hyperlink>
      <w:r>
        <w:t>, which Facebook later took down.</w:t>
      </w:r>
    </w:p>
    <w:p w14:paraId="40753954" w14:textId="5D5B1FC4" w:rsidR="00BE7D4E" w:rsidRDefault="00C73CD6">
      <w:r>
        <w:t>The</w:t>
      </w:r>
      <w:r w:rsidR="00EC4541">
        <w:t xml:space="preserve"> perceived</w:t>
      </w:r>
      <w:r>
        <w:t xml:space="preserve"> importance </w:t>
      </w:r>
      <w:r w:rsidR="00EC4541">
        <w:t>of</w:t>
      </w:r>
      <w:r>
        <w:t xml:space="preserve"> Facebook is likely well-deserved. A</w:t>
      </w:r>
      <w:r w:rsidR="00BE7D4E">
        <w:t xml:space="preserve">mong the </w:t>
      </w:r>
      <w:hyperlink r:id="rId5" w:history="1">
        <w:r w:rsidR="00BE7D4E" w:rsidRPr="00DF00E1">
          <w:rPr>
            <w:rStyle w:val="Hyperlink"/>
          </w:rPr>
          <w:t>70%</w:t>
        </w:r>
      </w:hyperlink>
      <w:r w:rsidR="00BE7D4E">
        <w:t xml:space="preserve"> of Georgians that use the internet at least some times, it is by far most people’s most frequent activity – </w:t>
      </w:r>
      <w:hyperlink r:id="rId6" w:history="1">
        <w:r w:rsidR="00BE7D4E" w:rsidRPr="00DF00E1">
          <w:rPr>
            <w:rStyle w:val="Hyperlink"/>
          </w:rPr>
          <w:t>72%</w:t>
        </w:r>
      </w:hyperlink>
      <w:r w:rsidR="00BE7D4E">
        <w:t xml:space="preserve"> of the public reports that one of their main three online activities is using Facebook, according to the NDI and CRRC November and December 2019 survey. </w:t>
      </w:r>
    </w:p>
    <w:p w14:paraId="5CE94B86" w14:textId="0BDE7886" w:rsidR="00113309" w:rsidRDefault="00C44FA6">
      <w:r>
        <w:t xml:space="preserve">Given this, the question emerges, do Facebook users in Georgia have different political attitudes than non-users? An analysis of the November and December 2019 NDI survey suggests that they have relatively similar attitudes to other individuals who are online, with one key exception – </w:t>
      </w:r>
      <w:r w:rsidR="00DA6231">
        <w:t>Facebook users</w:t>
      </w:r>
      <w:r>
        <w:t xml:space="preserve"> have stronger opinions</w:t>
      </w:r>
      <w:r w:rsidR="00EC4541">
        <w:t xml:space="preserve"> on political issues</w:t>
      </w:r>
      <w:r>
        <w:t>.</w:t>
      </w:r>
      <w:r w:rsidR="005311B6">
        <w:t xml:space="preserve"> In turn, if political campaigning moves further onto Facebook, politics may become more polarized.</w:t>
      </w:r>
    </w:p>
    <w:p w14:paraId="7D0348CA" w14:textId="7C3E0148" w:rsidR="00711A57" w:rsidRDefault="000B4FAB">
      <w:r>
        <w:t>On the</w:t>
      </w:r>
      <w:r w:rsidR="00C44FA6">
        <w:t xml:space="preserve"> November/December NDI and CRRC </w:t>
      </w:r>
      <w:r>
        <w:t xml:space="preserve">survey, respondents who reported using the internet were asked how often they encounter political news on Facebook. Among the response options was I do not use Facebook, which 8% of internet users reported. </w:t>
      </w:r>
      <w:r w:rsidR="00711A57">
        <w:t xml:space="preserve">Based on this figure and </w:t>
      </w:r>
      <w:r w:rsidR="007D0681">
        <w:t>a</w:t>
      </w:r>
      <w:r w:rsidR="00711A57">
        <w:t xml:space="preserve"> question on internet usage, a third (31%) of the public report not using the internet, 64% report using the internet and Facebook, and 6% </w:t>
      </w:r>
      <w:r>
        <w:t>use the internet, but not Facebook.</w:t>
      </w:r>
      <w:r w:rsidR="00711A57">
        <w:t xml:space="preserve"> </w:t>
      </w:r>
    </w:p>
    <w:p w14:paraId="46CD7F50" w14:textId="3825A1C5" w:rsidR="001C08BE" w:rsidRDefault="000B4FAB">
      <w:r>
        <w:t>To understand who was more or less likely to be parts of these different segments of society,</w:t>
      </w:r>
      <w:r w:rsidR="001638EE">
        <w:t xml:space="preserve"> </w:t>
      </w:r>
      <w:r w:rsidR="001C08BE">
        <w:t xml:space="preserve">a statistical </w:t>
      </w:r>
      <w:r>
        <w:t>model</w:t>
      </w:r>
      <w:r w:rsidR="001638EE">
        <w:t xml:space="preserve"> </w:t>
      </w:r>
      <w:r w:rsidR="005818E8">
        <w:t>control</w:t>
      </w:r>
      <w:r w:rsidR="001C08BE">
        <w:t>ling</w:t>
      </w:r>
      <w:r w:rsidR="005818E8">
        <w:t xml:space="preserve"> for</w:t>
      </w:r>
      <w:r w:rsidR="001638EE">
        <w:t xml:space="preserve"> </w:t>
      </w:r>
      <w:r>
        <w:t>age, settlement type, household wealth, education level,</w:t>
      </w:r>
      <w:r w:rsidR="001638EE">
        <w:t xml:space="preserve"> and</w:t>
      </w:r>
      <w:r>
        <w:t xml:space="preserve"> sex</w:t>
      </w:r>
      <w:r w:rsidR="001C08BE">
        <w:t xml:space="preserve"> was run</w:t>
      </w:r>
      <w:r w:rsidR="001638EE">
        <w:t xml:space="preserve">. </w:t>
      </w:r>
      <w:r w:rsidR="005645F5">
        <w:t xml:space="preserve"> </w:t>
      </w:r>
      <w:r w:rsidR="00355BBB">
        <w:t xml:space="preserve">The data suggest that Facebook users and internet users that do not use Facebook are more demographically similar to each other than those that do not use the internet. </w:t>
      </w:r>
    </w:p>
    <w:p w14:paraId="77242E5A" w14:textId="62D8AC8C" w:rsidR="006A4702" w:rsidRDefault="006A4702" w:rsidP="006A4702">
      <w:r>
        <w:t xml:space="preserve">The results suggest that people who use the internet, but not Facebook are less likely to live in urban areas outside Tbilisi, are older (average age of 47 versus 39), and more likely to be male. Those which use the internet but do not use Facebook compared to people who do not use the internet </w:t>
      </w:r>
      <w:r w:rsidR="004E4B2C">
        <w:t>live in</w:t>
      </w:r>
      <w:r>
        <w:t xml:space="preserve"> wealthier</w:t>
      </w:r>
      <w:r w:rsidR="004E4B2C">
        <w:t xml:space="preserve"> households</w:t>
      </w:r>
      <w:r>
        <w:t>,</w:t>
      </w:r>
      <w:r w:rsidR="00A430D1">
        <w:t xml:space="preserve"> are</w:t>
      </w:r>
      <w:r>
        <w:t xml:space="preserve"> more likely to have higher education,</w:t>
      </w:r>
      <w:r w:rsidR="00A430D1">
        <w:t xml:space="preserve"> are</w:t>
      </w:r>
      <w:r>
        <w:t xml:space="preserve"> younger (average age of 47 versus 60), and </w:t>
      </w:r>
      <w:r w:rsidR="00A430D1">
        <w:t xml:space="preserve">are </w:t>
      </w:r>
      <w:r>
        <w:t xml:space="preserve">more likely to live in urban areas outside the capital and rural areas than in Tbilisi. When comparing those who use Facebook to those that do not use the internet, the pattern is similar. </w:t>
      </w:r>
    </w:p>
    <w:p w14:paraId="4AC15D46" w14:textId="77777777" w:rsidR="006A4702" w:rsidRDefault="006A4702"/>
    <w:p w14:paraId="3BDD3990" w14:textId="5456A2BB" w:rsidR="006A4702" w:rsidRDefault="006A4702">
      <w:r>
        <w:rPr>
          <w:noProof/>
        </w:rPr>
        <w:lastRenderedPageBreak/>
        <w:drawing>
          <wp:inline distT="0" distB="0" distL="0" distR="0" wp14:anchorId="1AADBE7F" wp14:editId="005CD06B">
            <wp:extent cx="5943600" cy="5207635"/>
            <wp:effectExtent l="0" t="0" r="0"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B9C2061" w14:textId="158A8C6D" w:rsidR="00711A57" w:rsidRDefault="00711A57">
      <w:r>
        <w:t>Given the large role that Facebook plays in politics in Georgia, it would be reasonable to assume that people who use Facebook and people who do not, but are still online might have different political views. To explore this issue, a matching a</w:t>
      </w:r>
      <w:r w:rsidR="006A4702">
        <w:t>nalysis</w:t>
      </w:r>
      <w:r>
        <w:t xml:space="preserve"> was used to identify individuals that are similar along demographic lines, except for the fact that they either use Facebook or they use the internet, but not Facebook.</w:t>
      </w:r>
    </w:p>
    <w:p w14:paraId="1F92FFC8" w14:textId="77777777" w:rsidR="00711A57" w:rsidRDefault="00711A57">
      <w:r>
        <w:t xml:space="preserve">The results show few differences. The two groups do not have significantly different preferences for political parties. They both also tend to assess government performance similarly. They are equally likely to report that they are going to vote in the next parliamentary elections. They are also no more or less certain in who they are going to vote for. </w:t>
      </w:r>
    </w:p>
    <w:p w14:paraId="656B6DA0" w14:textId="2338A809" w:rsidR="00711A57" w:rsidRDefault="00711A57" w:rsidP="00711A57">
      <w:r>
        <w:t>There is one important difference however – people who use Facebook are more likely to express their opinions. People who use the internet but not Facebook reported they don’t know and refused to answer questions significantly more often than people who use Facebook</w:t>
      </w:r>
      <w:r w:rsidR="00CD2F45">
        <w:t xml:space="preserve"> in this survey</w:t>
      </w:r>
      <w:r>
        <w:t xml:space="preserve">.  </w:t>
      </w:r>
    </w:p>
    <w:p w14:paraId="65598863" w14:textId="77777777" w:rsidR="00711A57" w:rsidRDefault="00711A57">
      <w:r>
        <w:rPr>
          <w:noProof/>
        </w:rPr>
        <w:lastRenderedPageBreak/>
        <w:drawing>
          <wp:inline distT="0" distB="0" distL="0" distR="0" wp14:anchorId="2640E16F" wp14:editId="552C9E04">
            <wp:extent cx="5701085" cy="2743200"/>
            <wp:effectExtent l="0" t="0" r="1397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6D22212" w14:textId="45D096F4" w:rsidR="00711A57" w:rsidRDefault="00711A57">
      <w:r>
        <w:t xml:space="preserve">This finding has a number of potential interpretations. On the one hand, it may suggest that Facebook is informing people about politics in the country, and therefore they can respond to the survey questions, which focus on politics, more easily. On the other hand, it may suggest that Facebook is polarizing in Georgia. People that use the platform are significantly less likely to report uncertainty on the wide variety of issues asked about on the survey, </w:t>
      </w:r>
      <w:r w:rsidR="007D0681">
        <w:t>hinting at</w:t>
      </w:r>
      <w:r>
        <w:t xml:space="preserve"> stronger opinions.  </w:t>
      </w:r>
    </w:p>
    <w:p w14:paraId="3671D9CB" w14:textId="6E3BE2A2" w:rsidR="00711A57" w:rsidRDefault="00711A57">
      <w:r>
        <w:t>Aside from the above potential explanations, caution is warranted in interpreting Facebook as causing the above patterns. Another potential interpretation is that people that do not use Facebook but are online are more concerned about sharing their opinions</w:t>
      </w:r>
      <w:r w:rsidR="007D0681">
        <w:t xml:space="preserve"> in public</w:t>
      </w:r>
      <w:r>
        <w:t xml:space="preserve">. This would explain why they refused to answer more often and are not engaged in a platform that thrives on people sharing news about themselves and their views of politics. However, working against this view is the fact that both groups reported equal comfort in expressing their opinion in a </w:t>
      </w:r>
      <w:hyperlink r:id="rId9" w:history="1">
        <w:r w:rsidRPr="00711A57">
          <w:rPr>
            <w:rStyle w:val="Hyperlink"/>
          </w:rPr>
          <w:t>quasi-public forum</w:t>
        </w:r>
      </w:hyperlink>
      <w:r>
        <w:t>.</w:t>
      </w:r>
    </w:p>
    <w:p w14:paraId="48BCFEA3" w14:textId="6C0CB2D9" w:rsidR="00711A57" w:rsidRPr="00711A57" w:rsidRDefault="00711A57">
      <w:r>
        <w:t>Taken together, the above suggests that there are relatively few differences between people who are on Facebook and not on Facebook but still using the internet, with one key distinction. People using Facebook are more likely to express their opinions. This may point to Facebook either serving as a tool to inform the public or as a source of division.</w:t>
      </w:r>
      <w:r w:rsidR="006B3243">
        <w:t xml:space="preserve"> Alternatively, Facebook</w:t>
      </w:r>
      <w:r w:rsidR="00A430D1">
        <w:t xml:space="preserve"> may</w:t>
      </w:r>
      <w:r w:rsidR="006B3243">
        <w:t xml:space="preserve"> draw the already more opinionated and informed.</w:t>
      </w:r>
      <w:r>
        <w:t xml:space="preserve"> </w:t>
      </w:r>
      <w:r w:rsidR="007D0681">
        <w:t>Potentially, it is both.</w:t>
      </w:r>
      <w:r w:rsidR="007D20B1">
        <w:t xml:space="preserve"> In either case, if politics is increasingly concentrated on Facebook in light of the Covid-19 outbreak, Georgian voters may become more informed and opinionated about politics.</w:t>
      </w:r>
      <w:r w:rsidR="00FC0336">
        <w:t xml:space="preserve"> With stronger opinions, polarization too may become stronger in Georgia.</w:t>
      </w:r>
    </w:p>
    <w:p w14:paraId="15818E68" w14:textId="520C62FD" w:rsidR="00113309" w:rsidRPr="004E4B2C" w:rsidRDefault="004E4B2C">
      <w:pPr>
        <w:rPr>
          <w:i/>
        </w:rPr>
      </w:pPr>
      <w:r w:rsidRPr="004E4B2C">
        <w:rPr>
          <w:i/>
        </w:rPr>
        <w:t xml:space="preserve">Note: The data used in the above is available </w:t>
      </w:r>
      <w:hyperlink r:id="rId10" w:history="1">
        <w:r w:rsidRPr="004E4B2C">
          <w:rPr>
            <w:rStyle w:val="Hyperlink"/>
            <w:i/>
          </w:rPr>
          <w:t>here</w:t>
        </w:r>
      </w:hyperlink>
      <w:r w:rsidRPr="004E4B2C">
        <w:rPr>
          <w:i/>
        </w:rPr>
        <w:t xml:space="preserve">. Replication code for the analysis is available </w:t>
      </w:r>
      <w:hyperlink r:id="rId11" w:history="1">
        <w:r w:rsidRPr="004E4B2C">
          <w:rPr>
            <w:rStyle w:val="Hyperlink"/>
            <w:i/>
          </w:rPr>
          <w:t>here</w:t>
        </w:r>
      </w:hyperlink>
      <w:r w:rsidRPr="004E4B2C">
        <w:rPr>
          <w:i/>
        </w:rPr>
        <w:t xml:space="preserve">. In some cases in the above, figures may not sum to 100%. This is generally due to rounding error. </w:t>
      </w:r>
    </w:p>
    <w:sectPr w:rsidR="00113309" w:rsidRPr="004E4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309"/>
    <w:rsid w:val="000B4FAB"/>
    <w:rsid w:val="000E734F"/>
    <w:rsid w:val="00113309"/>
    <w:rsid w:val="001638EE"/>
    <w:rsid w:val="001C08BE"/>
    <w:rsid w:val="001C1055"/>
    <w:rsid w:val="00355BBB"/>
    <w:rsid w:val="004D6403"/>
    <w:rsid w:val="004E4B2C"/>
    <w:rsid w:val="00527693"/>
    <w:rsid w:val="005311B6"/>
    <w:rsid w:val="005645F5"/>
    <w:rsid w:val="005818E8"/>
    <w:rsid w:val="006A4702"/>
    <w:rsid w:val="006B3243"/>
    <w:rsid w:val="00711A57"/>
    <w:rsid w:val="007B1227"/>
    <w:rsid w:val="007D0681"/>
    <w:rsid w:val="007D20B1"/>
    <w:rsid w:val="00892771"/>
    <w:rsid w:val="008C6A6A"/>
    <w:rsid w:val="009A2A53"/>
    <w:rsid w:val="00A034C6"/>
    <w:rsid w:val="00A430D1"/>
    <w:rsid w:val="00BE7D4E"/>
    <w:rsid w:val="00C44FA6"/>
    <w:rsid w:val="00C7199F"/>
    <w:rsid w:val="00C73CD6"/>
    <w:rsid w:val="00CD2F45"/>
    <w:rsid w:val="00DA6231"/>
    <w:rsid w:val="00DB48CC"/>
    <w:rsid w:val="00DF4F86"/>
    <w:rsid w:val="00E06030"/>
    <w:rsid w:val="00EC4541"/>
    <w:rsid w:val="00F253D8"/>
    <w:rsid w:val="00F51878"/>
    <w:rsid w:val="00FC0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3A99"/>
  <w15:chartTrackingRefBased/>
  <w15:docId w15:val="{C677A574-148C-409A-8968-52380DA3E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3309"/>
    <w:rPr>
      <w:color w:val="0563C1" w:themeColor="hyperlink"/>
      <w:u w:val="single"/>
    </w:rPr>
  </w:style>
  <w:style w:type="character" w:styleId="CommentReference">
    <w:name w:val="annotation reference"/>
    <w:basedOn w:val="DefaultParagraphFont"/>
    <w:uiPriority w:val="99"/>
    <w:semiHidden/>
    <w:unhideWhenUsed/>
    <w:rsid w:val="00711A57"/>
    <w:rPr>
      <w:sz w:val="16"/>
      <w:szCs w:val="16"/>
    </w:rPr>
  </w:style>
  <w:style w:type="paragraph" w:styleId="CommentText">
    <w:name w:val="annotation text"/>
    <w:basedOn w:val="Normal"/>
    <w:link w:val="CommentTextChar"/>
    <w:uiPriority w:val="99"/>
    <w:semiHidden/>
    <w:unhideWhenUsed/>
    <w:rsid w:val="00711A57"/>
    <w:pPr>
      <w:spacing w:line="240" w:lineRule="auto"/>
    </w:pPr>
    <w:rPr>
      <w:sz w:val="20"/>
      <w:szCs w:val="20"/>
    </w:rPr>
  </w:style>
  <w:style w:type="character" w:customStyle="1" w:styleId="CommentTextChar">
    <w:name w:val="Comment Text Char"/>
    <w:basedOn w:val="DefaultParagraphFont"/>
    <w:link w:val="CommentText"/>
    <w:uiPriority w:val="99"/>
    <w:semiHidden/>
    <w:rsid w:val="00711A57"/>
    <w:rPr>
      <w:sz w:val="20"/>
      <w:szCs w:val="20"/>
    </w:rPr>
  </w:style>
  <w:style w:type="paragraph" w:styleId="CommentSubject">
    <w:name w:val="annotation subject"/>
    <w:basedOn w:val="CommentText"/>
    <w:next w:val="CommentText"/>
    <w:link w:val="CommentSubjectChar"/>
    <w:uiPriority w:val="99"/>
    <w:semiHidden/>
    <w:unhideWhenUsed/>
    <w:rsid w:val="00711A57"/>
    <w:rPr>
      <w:b/>
      <w:bCs/>
    </w:rPr>
  </w:style>
  <w:style w:type="character" w:customStyle="1" w:styleId="CommentSubjectChar">
    <w:name w:val="Comment Subject Char"/>
    <w:basedOn w:val="CommentTextChar"/>
    <w:link w:val="CommentSubject"/>
    <w:uiPriority w:val="99"/>
    <w:semiHidden/>
    <w:rsid w:val="00711A57"/>
    <w:rPr>
      <w:b/>
      <w:bCs/>
      <w:sz w:val="20"/>
      <w:szCs w:val="20"/>
    </w:rPr>
  </w:style>
  <w:style w:type="paragraph" w:styleId="BalloonText">
    <w:name w:val="Balloon Text"/>
    <w:basedOn w:val="Normal"/>
    <w:link w:val="BalloonTextChar"/>
    <w:uiPriority w:val="99"/>
    <w:semiHidden/>
    <w:unhideWhenUsed/>
    <w:rsid w:val="00711A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1A57"/>
    <w:rPr>
      <w:rFonts w:ascii="Segoe UI" w:hAnsi="Segoe UI" w:cs="Segoe UI"/>
      <w:sz w:val="18"/>
      <w:szCs w:val="18"/>
    </w:rPr>
  </w:style>
  <w:style w:type="character" w:styleId="FollowedHyperlink">
    <w:name w:val="FollowedHyperlink"/>
    <w:basedOn w:val="DefaultParagraphFont"/>
    <w:uiPriority w:val="99"/>
    <w:semiHidden/>
    <w:unhideWhenUsed/>
    <w:rsid w:val="001C10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ucasusbarometer.org/en/nn2019ge/INTACFB/" TargetMode="External"/><Relationship Id="rId11" Type="http://schemas.openxmlformats.org/officeDocument/2006/relationships/hyperlink" Target="https://github.com/crrcgeorgia/" TargetMode="External"/><Relationship Id="rId5" Type="http://schemas.openxmlformats.org/officeDocument/2006/relationships/hyperlink" Target="https://caucasusbarometer.org/en/nn2019ge/FRQINTR/" TargetMode="External"/><Relationship Id="rId10" Type="http://schemas.openxmlformats.org/officeDocument/2006/relationships/hyperlink" Target="caucasusbarometer.org" TargetMode="External"/><Relationship Id="rId4" Type="http://schemas.openxmlformats.org/officeDocument/2006/relationships/hyperlink" Target="https://civil.ge/archives/332443" TargetMode="External"/><Relationship Id="rId9" Type="http://schemas.openxmlformats.org/officeDocument/2006/relationships/hyperlink" Target="https://caucasusbarometer.org/en/nn2019ge/SHOPGVS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ustin\Desktop\Projects\Blogs\Multinomial%20chart%20Facebook%20Blo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Probability of not using the internet, being a Facebook</a:t>
            </a:r>
            <a:r>
              <a:rPr lang="en-US" baseline="0"/>
              <a:t> user, and being an internet user that does not use Facebook</a:t>
            </a:r>
          </a:p>
          <a:p>
            <a:pPr>
              <a:defRPr/>
            </a:pPr>
            <a:r>
              <a:rPr lang="en-US" baseline="0"/>
              <a:t>(NDI/CRRC November 2018-2019 Survey)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Sheet1!$M$5</c:f>
              <c:strCache>
                <c:ptCount val="1"/>
                <c:pt idx="0">
                  <c:v>Not online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Sheet1!$K$6:$L$22</c:f>
              <c:multiLvlStrCache>
                <c:ptCount val="17"/>
                <c:lvl>
                  <c:pt idx="0">
                    <c:v>0</c:v>
                  </c:pt>
                  <c:pt idx="1">
                    <c:v>5</c:v>
                  </c:pt>
                  <c:pt idx="2">
                    <c:v>10</c:v>
                  </c:pt>
                  <c:pt idx="3">
                    <c:v>Secondary or less</c:v>
                  </c:pt>
                  <c:pt idx="4">
                    <c:v>Vocational</c:v>
                  </c:pt>
                  <c:pt idx="5">
                    <c:v>Tertiary</c:v>
                  </c:pt>
                  <c:pt idx="6">
                    <c:v>Male</c:v>
                  </c:pt>
                  <c:pt idx="7">
                    <c:v>Female</c:v>
                  </c:pt>
                  <c:pt idx="8">
                    <c:v>20</c:v>
                  </c:pt>
                  <c:pt idx="9">
                    <c:v>30</c:v>
                  </c:pt>
                  <c:pt idx="10">
                    <c:v>40</c:v>
                  </c:pt>
                  <c:pt idx="11">
                    <c:v>50</c:v>
                  </c:pt>
                  <c:pt idx="12">
                    <c:v>60</c:v>
                  </c:pt>
                  <c:pt idx="13">
                    <c:v>80</c:v>
                  </c:pt>
                  <c:pt idx="14">
                    <c:v>Tbilisi</c:v>
                  </c:pt>
                  <c:pt idx="15">
                    <c:v>Other urban</c:v>
                  </c:pt>
                  <c:pt idx="16">
                    <c:v>Rural</c:v>
                  </c:pt>
                </c:lvl>
                <c:lvl>
                  <c:pt idx="0">
                    <c:v>Wealth</c:v>
                  </c:pt>
                  <c:pt idx="3">
                    <c:v>Education</c:v>
                  </c:pt>
                  <c:pt idx="6">
                    <c:v>Sex</c:v>
                  </c:pt>
                  <c:pt idx="8">
                    <c:v>Age</c:v>
                  </c:pt>
                  <c:pt idx="14">
                    <c:v>Settlement type</c:v>
                  </c:pt>
                </c:lvl>
              </c:multiLvlStrCache>
            </c:multiLvlStrRef>
          </c:cat>
          <c:val>
            <c:numRef>
              <c:f>Sheet1!$M$6:$M$22</c:f>
              <c:numCache>
                <c:formatCode>0</c:formatCode>
                <c:ptCount val="17"/>
                <c:pt idx="0">
                  <c:v>69.099999999999994</c:v>
                </c:pt>
                <c:pt idx="1">
                  <c:v>24.099999999999998</c:v>
                </c:pt>
                <c:pt idx="2">
                  <c:v>3.8</c:v>
                </c:pt>
                <c:pt idx="3">
                  <c:v>25.7</c:v>
                </c:pt>
                <c:pt idx="4">
                  <c:v>21.2</c:v>
                </c:pt>
                <c:pt idx="5">
                  <c:v>8.4</c:v>
                </c:pt>
                <c:pt idx="6">
                  <c:v>20.100000000000001</c:v>
                </c:pt>
                <c:pt idx="7">
                  <c:v>16.8</c:v>
                </c:pt>
                <c:pt idx="8">
                  <c:v>1.6</c:v>
                </c:pt>
                <c:pt idx="9">
                  <c:v>4.3999999999999995</c:v>
                </c:pt>
                <c:pt idx="10">
                  <c:v>11.3</c:v>
                </c:pt>
                <c:pt idx="11">
                  <c:v>25.3</c:v>
                </c:pt>
                <c:pt idx="12">
                  <c:v>46.1</c:v>
                </c:pt>
                <c:pt idx="13">
                  <c:v>83.8</c:v>
                </c:pt>
                <c:pt idx="14">
                  <c:v>12.1</c:v>
                </c:pt>
                <c:pt idx="15">
                  <c:v>17.5</c:v>
                </c:pt>
                <c:pt idx="16">
                  <c:v>25.7</c:v>
                </c:pt>
              </c:numCache>
            </c:numRef>
          </c:val>
        </c:ser>
        <c:ser>
          <c:idx val="1"/>
          <c:order val="1"/>
          <c:tx>
            <c:strRef>
              <c:f>Sheet1!$N$5</c:f>
              <c:strCache>
                <c:ptCount val="1"/>
                <c:pt idx="0">
                  <c:v>Uses internet, not on Facebook</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Sheet1!$K$6:$L$22</c:f>
              <c:multiLvlStrCache>
                <c:ptCount val="17"/>
                <c:lvl>
                  <c:pt idx="0">
                    <c:v>0</c:v>
                  </c:pt>
                  <c:pt idx="1">
                    <c:v>5</c:v>
                  </c:pt>
                  <c:pt idx="2">
                    <c:v>10</c:v>
                  </c:pt>
                  <c:pt idx="3">
                    <c:v>Secondary or less</c:v>
                  </c:pt>
                  <c:pt idx="4">
                    <c:v>Vocational</c:v>
                  </c:pt>
                  <c:pt idx="5">
                    <c:v>Tertiary</c:v>
                  </c:pt>
                  <c:pt idx="6">
                    <c:v>Male</c:v>
                  </c:pt>
                  <c:pt idx="7">
                    <c:v>Female</c:v>
                  </c:pt>
                  <c:pt idx="8">
                    <c:v>20</c:v>
                  </c:pt>
                  <c:pt idx="9">
                    <c:v>30</c:v>
                  </c:pt>
                  <c:pt idx="10">
                    <c:v>40</c:v>
                  </c:pt>
                  <c:pt idx="11">
                    <c:v>50</c:v>
                  </c:pt>
                  <c:pt idx="12">
                    <c:v>60</c:v>
                  </c:pt>
                  <c:pt idx="13">
                    <c:v>80</c:v>
                  </c:pt>
                  <c:pt idx="14">
                    <c:v>Tbilisi</c:v>
                  </c:pt>
                  <c:pt idx="15">
                    <c:v>Other urban</c:v>
                  </c:pt>
                  <c:pt idx="16">
                    <c:v>Rural</c:v>
                  </c:pt>
                </c:lvl>
                <c:lvl>
                  <c:pt idx="0">
                    <c:v>Wealth</c:v>
                  </c:pt>
                  <c:pt idx="3">
                    <c:v>Education</c:v>
                  </c:pt>
                  <c:pt idx="6">
                    <c:v>Sex</c:v>
                  </c:pt>
                  <c:pt idx="8">
                    <c:v>Age</c:v>
                  </c:pt>
                  <c:pt idx="14">
                    <c:v>Settlement type</c:v>
                  </c:pt>
                </c:lvl>
              </c:multiLvlStrCache>
            </c:multiLvlStrRef>
          </c:cat>
          <c:val>
            <c:numRef>
              <c:f>Sheet1!$N$6:$N$22</c:f>
              <c:numCache>
                <c:formatCode>0</c:formatCode>
                <c:ptCount val="17"/>
                <c:pt idx="0">
                  <c:v>2</c:v>
                </c:pt>
                <c:pt idx="1">
                  <c:v>6.2</c:v>
                </c:pt>
                <c:pt idx="2">
                  <c:v>9.7000000000000011</c:v>
                </c:pt>
                <c:pt idx="3">
                  <c:v>7.3999999999999995</c:v>
                </c:pt>
                <c:pt idx="4">
                  <c:v>6.4</c:v>
                </c:pt>
                <c:pt idx="5">
                  <c:v>7.0000000000000009</c:v>
                </c:pt>
                <c:pt idx="6">
                  <c:v>8.9</c:v>
                </c:pt>
                <c:pt idx="7">
                  <c:v>4.9000000000000004</c:v>
                </c:pt>
                <c:pt idx="8">
                  <c:v>3.3000000000000003</c:v>
                </c:pt>
                <c:pt idx="9">
                  <c:v>4.7</c:v>
                </c:pt>
                <c:pt idx="10">
                  <c:v>6.2</c:v>
                </c:pt>
                <c:pt idx="11">
                  <c:v>7.3</c:v>
                </c:pt>
                <c:pt idx="12">
                  <c:v>7.3</c:v>
                </c:pt>
                <c:pt idx="13">
                  <c:v>4</c:v>
                </c:pt>
                <c:pt idx="14">
                  <c:v>10.100000000000001</c:v>
                </c:pt>
                <c:pt idx="15">
                  <c:v>1.6</c:v>
                </c:pt>
                <c:pt idx="16">
                  <c:v>9.1</c:v>
                </c:pt>
              </c:numCache>
            </c:numRef>
          </c:val>
        </c:ser>
        <c:ser>
          <c:idx val="2"/>
          <c:order val="2"/>
          <c:tx>
            <c:strRef>
              <c:f>Sheet1!$O$5</c:f>
              <c:strCache>
                <c:ptCount val="1"/>
                <c:pt idx="0">
                  <c:v>Facebook user</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Sheet1!$K$6:$L$22</c:f>
              <c:multiLvlStrCache>
                <c:ptCount val="17"/>
                <c:lvl>
                  <c:pt idx="0">
                    <c:v>0</c:v>
                  </c:pt>
                  <c:pt idx="1">
                    <c:v>5</c:v>
                  </c:pt>
                  <c:pt idx="2">
                    <c:v>10</c:v>
                  </c:pt>
                  <c:pt idx="3">
                    <c:v>Secondary or less</c:v>
                  </c:pt>
                  <c:pt idx="4">
                    <c:v>Vocational</c:v>
                  </c:pt>
                  <c:pt idx="5">
                    <c:v>Tertiary</c:v>
                  </c:pt>
                  <c:pt idx="6">
                    <c:v>Male</c:v>
                  </c:pt>
                  <c:pt idx="7">
                    <c:v>Female</c:v>
                  </c:pt>
                  <c:pt idx="8">
                    <c:v>20</c:v>
                  </c:pt>
                  <c:pt idx="9">
                    <c:v>30</c:v>
                  </c:pt>
                  <c:pt idx="10">
                    <c:v>40</c:v>
                  </c:pt>
                  <c:pt idx="11">
                    <c:v>50</c:v>
                  </c:pt>
                  <c:pt idx="12">
                    <c:v>60</c:v>
                  </c:pt>
                  <c:pt idx="13">
                    <c:v>80</c:v>
                  </c:pt>
                  <c:pt idx="14">
                    <c:v>Tbilisi</c:v>
                  </c:pt>
                  <c:pt idx="15">
                    <c:v>Other urban</c:v>
                  </c:pt>
                  <c:pt idx="16">
                    <c:v>Rural</c:v>
                  </c:pt>
                </c:lvl>
                <c:lvl>
                  <c:pt idx="0">
                    <c:v>Wealth</c:v>
                  </c:pt>
                  <c:pt idx="3">
                    <c:v>Education</c:v>
                  </c:pt>
                  <c:pt idx="6">
                    <c:v>Sex</c:v>
                  </c:pt>
                  <c:pt idx="8">
                    <c:v>Age</c:v>
                  </c:pt>
                  <c:pt idx="14">
                    <c:v>Settlement type</c:v>
                  </c:pt>
                </c:lvl>
              </c:multiLvlStrCache>
            </c:multiLvlStrRef>
          </c:cat>
          <c:val>
            <c:numRef>
              <c:f>Sheet1!$O$6:$O$22</c:f>
              <c:numCache>
                <c:formatCode>0</c:formatCode>
                <c:ptCount val="17"/>
                <c:pt idx="0">
                  <c:v>28.999999999999996</c:v>
                </c:pt>
                <c:pt idx="1">
                  <c:v>69.699999999999989</c:v>
                </c:pt>
                <c:pt idx="2">
                  <c:v>86.5</c:v>
                </c:pt>
                <c:pt idx="3">
                  <c:v>66.900000000000006</c:v>
                </c:pt>
                <c:pt idx="4">
                  <c:v>72.399999999999991</c:v>
                </c:pt>
                <c:pt idx="5">
                  <c:v>84.6</c:v>
                </c:pt>
                <c:pt idx="6">
                  <c:v>71</c:v>
                </c:pt>
                <c:pt idx="7">
                  <c:v>78.2</c:v>
                </c:pt>
                <c:pt idx="8">
                  <c:v>95.1</c:v>
                </c:pt>
                <c:pt idx="9">
                  <c:v>90.9</c:v>
                </c:pt>
                <c:pt idx="10">
                  <c:v>82.5</c:v>
                </c:pt>
                <c:pt idx="11">
                  <c:v>67.400000000000006</c:v>
                </c:pt>
                <c:pt idx="12">
                  <c:v>46.6</c:v>
                </c:pt>
                <c:pt idx="13">
                  <c:v>12.2</c:v>
                </c:pt>
                <c:pt idx="14">
                  <c:v>77.8</c:v>
                </c:pt>
                <c:pt idx="15">
                  <c:v>80.900000000000006</c:v>
                </c:pt>
                <c:pt idx="16">
                  <c:v>65.2</c:v>
                </c:pt>
              </c:numCache>
            </c:numRef>
          </c:val>
        </c:ser>
        <c:dLbls>
          <c:showLegendKey val="0"/>
          <c:showVal val="0"/>
          <c:showCatName val="0"/>
          <c:showSerName val="0"/>
          <c:showPercent val="0"/>
          <c:showBubbleSize val="0"/>
        </c:dLbls>
        <c:gapWidth val="150"/>
        <c:overlap val="100"/>
        <c:axId val="1812157856"/>
        <c:axId val="1812157312"/>
      </c:barChart>
      <c:catAx>
        <c:axId val="18121578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2157312"/>
        <c:crosses val="autoZero"/>
        <c:auto val="1"/>
        <c:lblAlgn val="ctr"/>
        <c:lblOffset val="100"/>
        <c:noMultiLvlLbl val="0"/>
      </c:catAx>
      <c:valAx>
        <c:axId val="1812157312"/>
        <c:scaling>
          <c:orientation val="minMax"/>
          <c:max val="100"/>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2157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Predicted average number of times respondent refused to answer and reported they did not know by</a:t>
            </a:r>
            <a:r>
              <a:rPr lang="en-US" baseline="0"/>
              <a:t> whether or not they use Facebook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Sheet1!$E$1</c:f>
              <c:strCache>
                <c:ptCount val="1"/>
                <c:pt idx="0">
                  <c:v>Counts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Sheet1!$C$2:$D$5</c:f>
              <c:multiLvlStrCache>
                <c:ptCount val="4"/>
                <c:lvl>
                  <c:pt idx="0">
                    <c:v>Uses Facebook</c:v>
                  </c:pt>
                  <c:pt idx="1">
                    <c:v>Uses internet, not Facebook</c:v>
                  </c:pt>
                  <c:pt idx="2">
                    <c:v>Uses Facebook</c:v>
                  </c:pt>
                  <c:pt idx="3">
                    <c:v>Uses internet, not Facebook</c:v>
                  </c:pt>
                </c:lvl>
                <c:lvl>
                  <c:pt idx="0">
                    <c:v>Number of times they refused to answer</c:v>
                  </c:pt>
                  <c:pt idx="2">
                    <c:v>Number of times they responded don't know</c:v>
                  </c:pt>
                </c:lvl>
              </c:multiLvlStrCache>
            </c:multiLvlStrRef>
          </c:cat>
          <c:val>
            <c:numRef>
              <c:f>Sheet1!$E$2:$E$5</c:f>
              <c:numCache>
                <c:formatCode>0.00</c:formatCode>
                <c:ptCount val="4"/>
                <c:pt idx="0">
                  <c:v>1.4610000000000001</c:v>
                </c:pt>
                <c:pt idx="1">
                  <c:v>2.5779999999999998</c:v>
                </c:pt>
                <c:pt idx="2">
                  <c:v>19.184999999999999</c:v>
                </c:pt>
                <c:pt idx="3">
                  <c:v>28.81</c:v>
                </c:pt>
              </c:numCache>
            </c:numRef>
          </c:val>
        </c:ser>
        <c:dLbls>
          <c:showLegendKey val="0"/>
          <c:showVal val="0"/>
          <c:showCatName val="0"/>
          <c:showSerName val="0"/>
          <c:showPercent val="0"/>
          <c:showBubbleSize val="0"/>
        </c:dLbls>
        <c:gapWidth val="219"/>
        <c:overlap val="-27"/>
        <c:axId val="1812158400"/>
        <c:axId val="2006639024"/>
      </c:barChart>
      <c:catAx>
        <c:axId val="1812158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6639024"/>
        <c:crosses val="autoZero"/>
        <c:auto val="1"/>
        <c:lblAlgn val="ctr"/>
        <c:lblOffset val="100"/>
        <c:noMultiLvlLbl val="0"/>
      </c:catAx>
      <c:valAx>
        <c:axId val="20066390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2158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3</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Gilbreath</dc:creator>
  <cp:keywords/>
  <dc:description/>
  <cp:lastModifiedBy>Dustin Gilbreath</cp:lastModifiedBy>
  <cp:revision>7</cp:revision>
  <dcterms:created xsi:type="dcterms:W3CDTF">2020-04-07T07:26:00Z</dcterms:created>
  <dcterms:modified xsi:type="dcterms:W3CDTF">2020-04-09T06:24:00Z</dcterms:modified>
</cp:coreProperties>
</file>