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6B5310"/>
          <w:sz w:val="19"/>
          <w:szCs w:val="19"/>
        </w:rPr>
        <w:t xml:space="preserve">ESTUDO DE CASO INTEGRADO — MBA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Copa do Mundo FIFA 2026</w:t>
      </w:r>
    </w:p>
    <w:p>
      <w:pPr>
        <w:spacing w:after="320"/>
      </w:pPr>
      <w:r>
        <w:rPr>
          <w:rFonts w:ascii="Calibri" w:cs="Calibri" w:eastAsia="Calibri" w:hAnsi="Calibri"/>
          <w:color w:val="5A5F5A"/>
          <w:sz w:val="26"/>
          <w:szCs w:val="26"/>
        </w:rPr>
        <w:t xml:space="preserve">Da base de dados ao dashboard: estatística aplicada, mineração de dados e visualização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Disciplina: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Visualização de Dados e Elaboração de Dashboards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Aluno: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Carlos Rodrigues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21 de agosto de 2026</w:t>
      </w:r>
    </w:p>
    <w:p>
      <w:pPr>
        <w:spacing w:after="32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Objeto de análise: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Copa do Mundo FIFA 2026 (Canadá, México e Estados Unidos) — 104 partidas, 48 seleções, 308 gols</w:t>
      </w:r>
    </w:p>
    <w:p>
      <w:pPr>
        <w:pBdr>
          <w:left w:val="single" w:color="C7B27A" w:sz="12" w:space="12"/>
        </w:pBdr>
        <w:spacing w:after="140" w:line="276"/>
        <w:ind w:left="18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Resumo.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Este trabalho transforma os dados públicos da primeira Copa do Mundo com 48 seleções em um conjunto analítico validado, aplica técnicas de estatística e de mineração de dados para identificar o que distingue as seleções que avançaram das que foram eliminadas, e entrega um dashboard interativo construído a partir das decisões de visualização discutidas na disciplina. A base foi montada por coleta em fontes públicas, com auditoria cruzada: as 48 linhas das tabelas de grupo foram reconstruídas aritmeticamente a partir dos 72 placares e o total de gols das 104 partidas (308) confere com o número divulgado de forma independente. O resultado central é que solidez defensiva e volume ofensivo qualificado — não posse de bola por si só — são os fatores associados ao avanço na competição.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1. Problema e perguntas analíticas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Copa do Mundo de 2026 foi a primeira disputada por 48 seleções, em 12 grupos de quatro, com uma fase eliminatória de 32 times. A mudança de formato criou um torneio mais longo (104 partidas, 39 dias) e mais heterogêneo: pela primeira vez, seleções separadas por dezenas de posições no ranking da FIFA se enfrentaram com frequência. Esse contexto motiva a pergunta central deste estudo:</w:t>
      </w:r>
    </w:p>
    <w:p>
      <w:pPr>
        <w:spacing w:after="140" w:line="276"/>
        <w:ind w:left="240"/>
        <w:jc w:val="lef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Quais características de desempenho estão associadas ao avanço de uma seleção na Copa de 2026 e é possível agrupar as 48 participantes em perfis de jogo com desfechos distintos?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Dessa pergunta derivam as questões operacionais que orientaram a análise e o desenho do dashboard: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Quais seleções apresentaram o melhor desempenho, medido por aproveitamento de pontos e por indicadores por partida?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Quais indicadores técnicos estão relacionados à classificação final?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Existe relação entre posse de bola e resultado, ou a posse é apenas um subproduto de outros fatores?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separa estatisticamente as 32 seleções que avançaram das 16 eliminadas na fase de grupos?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 possível identificar grupos de seleções com características semelhantes, e esses grupos têm taxas de avanço diferentes?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Quais combinações de características antecedem a eliminação precoce?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distribuição de gols por partida é compatível com um processo aleatório de Poisson, como sugere a literatura de futebol?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público-alvo do dashboard é acadêmico e gerencial: leitores que precisam entender o torneio em poucos minutos, verificar números específicos quando necessário e checar a procedência de cada dado. Essa definição de público condicionou todas as escolhas de visualização discutidas na seção 5.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2. Fontes e tratamento dos dados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Coleta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Não existe base pública consolidada e legível por máquina da Copa de 2026 acessível sem credenciais: o site oficial da FIFA renderiza as tabelas por JavaScript e a Wikipédia, na data da coleta, ainda apresentava conteúdo anterior ao torneio no cache acessível. A base foi então construída a partir de 53 endereços de fontes públicas — veículos esportivos de referência, páginas de estatística e artigos oficiais de pós-torneio da FIFA — sempre com confirmação em pelo menos duas fontes independentes por informação.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1996"/>
        <w:gridCol w:w="3084"/>
        <w:gridCol w:w="3992"/>
      </w:tblGrid>
      <w:tr>
        <w:trPr>
          <w:tblHeader/>
        </w:trPr>
        <w:tc>
          <w:tcPr>
            <w:tcW w:type="dxa" w:w="1996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Bloco de dados</w:t>
            </w:r>
          </w:p>
        </w:tc>
        <w:tc>
          <w:tcPr>
            <w:tcW w:type="dxa" w:w="308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Conteúdo</w:t>
            </w:r>
          </w:p>
        </w:tc>
        <w:tc>
          <w:tcPr>
            <w:tcW w:type="dxa" w:w="3992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Fontes usadas na confirmação</w:t>
            </w:r>
          </w:p>
        </w:tc>
      </w:tr>
      <w:tr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Fase de grupos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 tabelas finais e 72 placares</w:t>
            </w:r>
          </w:p>
        </w:tc>
        <w:tc>
          <w:tcPr>
            <w:tcW w:type="dxa" w:w="39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FOX Sports, CBS Sports, Yahoo Sports, FourFourTwo, NBC Sports</w:t>
            </w:r>
          </w:p>
        </w:tc>
      </w:tr>
      <w:tr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Mata-mata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32 partidas, prorrogações, pênaltis, datas e sedes</w:t>
            </w:r>
          </w:p>
        </w:tc>
        <w:tc>
          <w:tcPr>
            <w:tcW w:type="dxa" w:w="39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FIFA (match centre), worldfootball.net, ESPN, Yahoo, CBS News, Al Jazeera</w:t>
            </w:r>
          </w:p>
        </w:tc>
      </w:tr>
      <w:tr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por seleção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posse, passes, chutes, xG, cartões</w:t>
            </w:r>
          </w:p>
        </w:tc>
        <w:tc>
          <w:tcPr>
            <w:tcW w:type="dxa" w:w="39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FOX Sports (team stats), FotMob</w:t>
            </w:r>
          </w:p>
        </w:tc>
      </w:tr>
      <w:tr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Artilharia e prêmios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28 jogadores com 3+ gols, prêmios individuais</w:t>
            </w:r>
          </w:p>
        </w:tc>
        <w:tc>
          <w:tcPr>
            <w:tcW w:type="dxa" w:w="39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FIFA, NBC Sports, Britannica, Sky Sports, Al Jazeera</w:t>
            </w:r>
          </w:p>
        </w:tc>
      </w:tr>
      <w:tr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Agregados do torneio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gols, público, cartões</w:t>
            </w:r>
          </w:p>
        </w:tc>
        <w:tc>
          <w:tcPr>
            <w:tcW w:type="dxa" w:w="39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Sky Sports, LiveScore, The Daily Star, StadiumDB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1 — Blocos de dados e fontes de confirmação. A lista completa de URLs está no rodapé do dashboard e na seção 9.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Limpeza, integração e validação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tratamento foi feito em Python (pandas) no script 01_preparacao_dados.py e seguiu quatro etapas:</w:t>
      </w:r>
    </w:p>
    <w:p>
      <w:pPr>
        <w:pStyle w:val="ListParagraph"/>
        <w:numPr>
          <w:ilvl w:val="0"/>
          <w:numId w:val="3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Padronização de nomes. As fontes grafam a mesma seleção de formas diferentes ("RD Congo", "República Democrática do Congo"); uma função de normalização remove acentuação e pontuação e aplica um dicionário de sinônimos, garantindo chave única para o cruzamento das três bases.</w:t>
      </w:r>
    </w:p>
    <w:p>
      <w:pPr>
        <w:pStyle w:val="ListParagraph"/>
        <w:numPr>
          <w:ilvl w:val="0"/>
          <w:numId w:val="3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Integração. A tabela de fatos (104 partidas) foi transformada em formato longo — uma linha por seleção por partida, 208 registros — o que permite agregar desempenho sem duplicar a lógica de casa e fora. A esse agregado foram unidas as estatísticas técnicas por seleção e a classificação final da FIFA.</w:t>
      </w:r>
    </w:p>
    <w:p>
      <w:pPr>
        <w:pStyle w:val="ListParagraph"/>
        <w:numPr>
          <w:ilvl w:val="0"/>
          <w:numId w:val="3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Criação de indicadores. Todos os indicadores comparativos foram normalizados por partida (gols por jogo, xG por jogo, chutes a gol por jogo, passes por jogo), porque as seleções disputaram entre 3 e 8 partidas; usar totais penalizaria quem foi eliminado cedo. Também foram criadas taxas (aproveitamento de pontos, precisão de finalização, percentual de jogos sem sofrer gol) e a diferença entre gols marcados e gols esperados, que mede eficiência de conversão.</w:t>
      </w:r>
    </w:p>
    <w:p>
      <w:pPr>
        <w:pStyle w:val="ListParagraph"/>
        <w:numPr>
          <w:ilvl w:val="0"/>
          <w:numId w:val="3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Auditoria. Em vez de confiar na concordância entre fontes, a base foi submetida a testes de consistência interna, cujo relatório é gravado em dados/validacao.txt.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5988"/>
        <w:gridCol w:w="3084"/>
      </w:tblGrid>
      <w:tr>
        <w:trPr>
          <w:tblHeader/>
        </w:trPr>
        <w:tc>
          <w:tcPr>
            <w:tcW w:type="dxa" w:w="598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Teste de consistência</w:t>
            </w:r>
          </w:p>
        </w:tc>
        <w:tc>
          <w:tcPr>
            <w:tcW w:type="dxa" w:w="308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Reconstrução das 48 linhas das tabelas de grupo a partir dos 72 placares (pontos, gols pró e contra)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 linhas conferidas, 0 divergências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Gols pró e contra por seleção: soma das partidas x tabela agregada da fonte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 seleções conferidas, 0 divergências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de gols das 104 partidas x total divulgado (308)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308 = 308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 de gols por partida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2,96 x 2,96 divulgada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 de jogos de cada seleção x fase alcançada (coerência estrutural)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 divergências em 48 seleções</w:t>
            </w:r>
          </w:p>
        </w:tc>
      </w:tr>
      <w:tr>
        <w:tc>
          <w:tcPr>
            <w:tcW w:type="dxa" w:w="59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Empates no mata-mata sem registro de pênaltis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 casos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2 — Auditoria da base. A reconstrução aritmética é mais forte que a concordância entre fontes: ela detectou e corrigiu erros de duas fontes (um veículo publicava pontuações incompatíveis com os próprios placares e outro invertia dois resultados do Grupo J).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2.3 Limitações reconhecidas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Faltas cometidas por seleção não são publicadas por nenhuma fonte acessível; o indicador ficou fora da análise disciplinar, que usa apenas cartões.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Assistências individuais estão publicadas somente para os sete primeiros artilheiros; a variável aparece como ausente para os demais e não é usada em cálculos agregados.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mando de campo divergia entre fontes em cerca de dez partidas da fase de grupos. Os placares não são afetados, e nenhuma análise deste estudo usa mando de campo como variável explicativa.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Os gols esperados (xG) vêm de um único provedor, com modelo proprietário; não há segunda fonte para validação cruzada desse indicador específico.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classificação geral da FIFA foi publicada como ordem, sem os pontos exatos; a variável é usada como ordinal, o que é adequado às técnicas escolhidas.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Essas limitações estão declaradas também no rodapé do dashboard, para que quem lê o painel sem ler o relatório não atribua aos dados uma precisão que eles não têm.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3. Estatística aplicada à análise de dados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Foram aplicadas quatro famílias de técnicas: estatística descritiva, teste de aderência a uma distribuição teórica, correlação e comparação entre grupos, além de análise de associação entre variáveis categóricas. A escolha por testes não paramétricos nas comparações se justifica pelo tamanho da amostra (48 seleções, 16 delas no grupo menor) e pela assimetria dos indicadores.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Estatística descritiva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distribuição de gols por partida (n = 104) tem média 2,96 e mediana 3 gols, com desvio-padrão 1,86 — um coeficiente de variação de 62,9%, alto, típico de contagens de eventos raros. A amplitude vai de 0 a 10 gols (a disputa de terceiro lugar, França 4 x 6 Inglaterra), com assimetria positiva de 0,70: partidas de muitos gols são raras, mas puxam a média acima da mediana.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2722"/>
        <w:gridCol w:w="1814"/>
        <w:gridCol w:w="2722"/>
        <w:gridCol w:w="1814"/>
      </w:tblGrid>
      <w:tr>
        <w:trPr>
          <w:tblHeader/>
        </w:trPr>
        <w:tc>
          <w:tcPr>
            <w:tcW w:type="dxa" w:w="2722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Medida</w:t>
            </w:r>
          </w:p>
        </w:tc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Gols por partida</w:t>
            </w:r>
          </w:p>
        </w:tc>
        <w:tc>
          <w:tcPr>
            <w:tcW w:type="dxa" w:w="2722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Medida</w:t>
            </w:r>
          </w:p>
        </w:tc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2,96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1º quartil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Mediana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3,0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3º quartil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4,0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Amplitude interquartil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Desvio-padrão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1,86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Assimetria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0,70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Variância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3,47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Curtose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1,00</w:t>
            </w:r>
          </w:p>
        </w:tc>
      </w:tr>
      <w:tr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Coeficiente de variação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62,9%</w:t>
            </w:r>
          </w:p>
        </w:tc>
        <w:tc>
          <w:tcPr>
            <w:tcW w:type="dxa" w:w="272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Mínimo – máximo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 – 10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3 — Estatística descritiva dos gols por partida (104 partidas).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nível das seleções, a dispersão dos indicadores revela a heterogeneidade criada pelo formato de 48 times. A posse de bola média varia de 30% (Paraguai) a 64% (Espanha e Alemanha), com coeficiente de variação de 19,2%. Já a precisão de passes é a variável mais homogênea (CV de 5,3%), o que faz dela um discriminador sutil, porém consistente: pequenas diferenças separam grupos inteiros.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Aderência ao modelo de Poisson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literatura de análise de futebol modela gols como um processo de Poisson. Testou-se a hipótese de que o número de gols por partida segue Poisson com λ igual à média observada (2,96), comparando frequências observadas e esperadas por qui-quadrado, com uma classe agregada para 5 ou mais gols e um grau de liberdade descontado pela estimação de λ. O resultado — χ² = 2,67, 4 graus de liberdade, p = 0,614 — não permite rejeitar a hipótese nula. Em termos práticos: apesar do novo formato e da maior diferença de nível entre adversários, a produção de gols do torneio se comportou como um processo aleatório de intensidade constante. Esse achado sustenta a decisão de não tratar placares elásticos como anomalias na análise.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3084"/>
        <w:gridCol w:w="2994"/>
        <w:gridCol w:w="2994"/>
      </w:tblGrid>
      <w:tr>
        <w:trPr>
          <w:tblHeader/>
        </w:trPr>
        <w:tc>
          <w:tcPr>
            <w:tcW w:type="dxa" w:w="308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Gols na partida</w:t>
            </w:r>
          </w:p>
        </w:tc>
        <w:tc>
          <w:tcPr>
            <w:tcW w:type="dxa" w:w="299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Observado</w:t>
            </w:r>
          </w:p>
        </w:tc>
        <w:tc>
          <w:tcPr>
            <w:tcW w:type="dxa" w:w="299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Esperado (Poisson)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5,4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15,9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23,6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23,3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17,3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5+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99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18,5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4 — Frequências observadas e esperadas sob Poisson (λ = 2,96).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Correlação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Duas correlações merecem destaque. A primeira valida o indicador de qualidade de chance: a correlação de Pearson entre gols esperados e gols marcados é r = 0,92 (R² = 0,85), ou seja, o xG explica cerca de 85% da variação nos gols efetivamente marcados — o restante é conversão, sorte e qualidade individual de finalização.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segunda usa o coeficiente de Spearman entre cada indicador e a classificação final (1º ao 48º). Como a classificação é ordinal e a amostra é pequena, Spearman é preferível a Pearson. Correlações negativas indicam que valores altos do indicador acompanham posições melhores.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3629"/>
        <w:gridCol w:w="1814"/>
        <w:gridCol w:w="1814"/>
        <w:gridCol w:w="1814"/>
      </w:tblGrid>
      <w:tr>
        <w:trPr>
          <w:tblHeader/>
        </w:trPr>
        <w:tc>
          <w:tcPr>
            <w:tcW w:type="dxa" w:w="362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Indicador</w:t>
            </w:r>
          </w:p>
        </w:tc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ρ de Spearman</w:t>
            </w:r>
          </w:p>
        </w:tc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p-valor</w:t>
            </w:r>
          </w:p>
        </w:tc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Significativa a 5%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saldo gols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-0,911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gols por jogo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-0,719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xg por jogo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-0,676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chutes a gol por jogo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-0,658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precisao passes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-0,647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passes por jogo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-0,631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chutes por jogo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-0,608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posse media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-0,581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0,00001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pct clean sheets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-0,528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0,00011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5 — Correlação de Spearman com a classificação final. O aproveitamento de pontos foi omitido por ser praticamente uma redefinição do resultado (ρ = −0,973).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saldo de gols (ρ = -0,91) e os gols por jogo lideram, o que é esperado. O ponto analiticamente relevante é a posição da posse de bola: ρ = -0,58, abaixo de precisão de passes, chutes a gol e xG. A posse aparece associada ao resultado (ρ = 0,63 com o aproveitamento de pontos), mas é o indicador mais fraco entre os ofensivos — sinal de que ela é meio, não fim.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Comparação entre grupos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comparação central do estudo opõe as 32 seleções que avançaram ao mata-mata às 16 eliminadas na fase de grupos. Com amostras pequenas e distribuições assimétricas, aplicou-se o teste U de Mann-Whitney, acompanhado do tamanho de efeito r = Z / √N, que informa a magnitude da diferença independentemente do p-valor.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3084"/>
        <w:gridCol w:w="1633"/>
        <w:gridCol w:w="1633"/>
        <w:gridCol w:w="1361"/>
        <w:gridCol w:w="1361"/>
      </w:tblGrid>
      <w:tr>
        <w:trPr>
          <w:tblHeader/>
        </w:trPr>
        <w:tc>
          <w:tcPr>
            <w:tcW w:type="dxa" w:w="308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Indicador</w:t>
            </w:r>
          </w:p>
        </w:tc>
        <w:tc>
          <w:tcPr>
            <w:tcW w:type="dxa" w:w="1633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Avançaram (mediana)</w:t>
            </w:r>
          </w:p>
        </w:tc>
        <w:tc>
          <w:tcPr>
            <w:tcW w:type="dxa" w:w="1633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Eliminados (mediana)</w:t>
            </w:r>
          </w:p>
        </w:tc>
        <w:tc>
          <w:tcPr>
            <w:tcW w:type="dxa" w:w="1361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p-valor</w:t>
            </w:r>
          </w:p>
        </w:tc>
        <w:tc>
          <w:tcPr>
            <w:tcW w:type="dxa" w:w="1361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Efeito r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Gols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1,67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0,67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0,62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Gols sofridos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1,23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2,33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0,52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Precisão de passes (%)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88,00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81,50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0,50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Chutes a gol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4,75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3,00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&lt; 0,001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0,48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Passes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472,69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338,17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0,001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0,47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xG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1,21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0,60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0,004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0,42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Posse de bola (%)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52,50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41,00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0,005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0,41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Cartões por jogo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1,25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1,67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0,127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0,22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Precisão de finalização (%)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36,48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33,33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0,186</w:t>
            </w:r>
          </w:p>
        </w:tc>
        <w:tc>
          <w:tcPr>
            <w:tcW w:type="dxa" w:w="1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0,19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6 — Teste U de Mann-Whitney: 32 seleções que avançaram x 16 eliminadas na fase de grupos.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Sete dos nove indicadores diferem significativamente. A maior diferença está nos gols por jogo (1,67 x 0,67; efeito r = 0,62) e nos gols sofridos por jogo (1,23 x 2,33), seguidos de precisão de passes e chutes a gol por jogo. Dois indicadores não distinguem os grupos: a precisão de finalização (p = 0,186) e os cartões por jogo (p = 0,127). A leitura de negócio é direta: o que separa os grupos não é acertar mais o alvo quando finaliza, e sim finalizar mais vezes em boas condições — volume qualificado, não pontaria.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Uma segunda comparação testou a intuição de que o mata-mata é mais travado: média de 2,99 gols por partida na fase de grupos contra 2,91 no mata-mata, diferença não significativa (p = 0,679). Vinte e uma das 32 partidas eliminatórias foram decididas por um gol de diferença ou empatadas no tempo normal, o que confirma o equilíbrio sem redução do volume de gols.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Análise de associação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nível de partida-seleção (208 registros), a associação entre manter a meta invicta e vencer é forte: a probabilidade de vitória sobe de 28,8% quando a equipe sofre gol para 72,7% quando não sofre — risco relativo de 2,53 (χ² = 30,7, p &lt; 0,001, V de Cramér = 0,38).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nível de seleção, dividindo as 48 em tercis de posse de bola, a associação com o avanço ao mata-mata é significativa (χ² = 13,57, 2 graus de liberdade, p = 0,001, V de Cramér = 0,53): apenas 5 das 16 seleções do tercil inferior avançaram, contra 15 de 18 no tercil intermediário e 12 de 14 no superior. Note-se, porém, que o tercil intermediário tem desempenho equivalente ao superior — mais posse do que a média não acrescenta vantagem, o que é coerente com a correlação modesta da seção 3.3.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 fim, a associação entre confederação e avanço foi calculada de forma exploratória (χ² = 15,5, p = 0,009), com a ressalva de que várias células têm frequência esperada inferior a 5. O resultado sugere assimetria — 13 das 16 seleções da UEFA e 9 das 10 da CAF avançaram, contra 2 de 9 da AFC — mas o teste não é confiável nesse tamanho de amostra e o dado é apresentado como descrição, não como inferência.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4. Mineração de dados aplicada a negócios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Foram aplicadas três técnicas complementares, cada uma respondendo a uma pergunta diferente: agrupamento (que perfis existem?), regras de associação (que combinações antecedem cada desfecho?) e classificação (quais variáveis separam as classes e em que ponto de corte?).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Clusterização por K-Means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pergunta "é possível identificar grupos de seleções com características semelhantes?" é não supervisionada por natureza: não há rótulo de perfil tático nos dados. Escolheu-se K-Means porque as oito variáveis usadas são contínuas, o algoritmo é interpretável (cada centroide é o perfil médio do grupo) e o custo computacional é irrelevante para n = 48. As variáveis foram padronizadas em z-score, já que misturam percentuais e contagens, e todas estão normalizadas por partida.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1814"/>
        <w:gridCol w:w="3629"/>
        <w:gridCol w:w="3629"/>
      </w:tblGrid>
      <w:tr>
        <w:trPr>
          <w:tblHeader/>
        </w:trPr>
        <w:tc>
          <w:tcPr>
            <w:tcW w:type="dxa" w:w="181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k</w:t>
            </w:r>
          </w:p>
        </w:tc>
        <w:tc>
          <w:tcPr>
            <w:tcW w:type="dxa" w:w="362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Inércia</w:t>
            </w:r>
          </w:p>
        </w:tc>
        <w:tc>
          <w:tcPr>
            <w:tcW w:type="dxa" w:w="362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Índice de silhueta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176,3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0,424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140,4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0,317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114,6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0,249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101,0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0,229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89,3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0,242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81,2</w:t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0,224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7 — Diagnóstico do número de clusters.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silhueta é máxima em k = 2 (0,424), mas a solução de dois grupos apenas separa "fortes" de "fracos" — descreve o que já se sabia e não gera leitura acionável. Adotou-se k = 4, que mantém silhueta positiva (0,249), acompanha o cotovelo da curva de inércia e produz quatro perfis interpretáveis. Essa é uma escolha explícita de interpretabilidade sobre métrica interna, e a razão de a silhueta cair é informativa: a análise de componentes principais mostra que a primeira componente explica 71,2% da variância, isto é, os dados são dominados por um único eixo de qualidade técnica. Os clusters, portanto, são faixas ao longo desse eixo, com fronteiras necessariamente suaves — e não ilhas bem separadas.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2087"/>
        <w:gridCol w:w="544"/>
        <w:gridCol w:w="816"/>
        <w:gridCol w:w="998"/>
        <w:gridCol w:w="998"/>
        <w:gridCol w:w="726"/>
        <w:gridCol w:w="998"/>
        <w:gridCol w:w="907"/>
        <w:gridCol w:w="998"/>
      </w:tblGrid>
      <w:tr>
        <w:trPr>
          <w:tblHeader/>
        </w:trPr>
        <w:tc>
          <w:tcPr>
            <w:tcW w:type="dxa" w:w="2087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Perfil</w:t>
            </w:r>
          </w:p>
        </w:tc>
        <w:tc>
          <w:tcPr>
            <w:tcW w:type="dxa" w:w="544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n</w:t>
            </w:r>
          </w:p>
        </w:tc>
        <w:tc>
          <w:tcPr>
            <w:tcW w:type="dxa" w:w="816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Posse</w:t>
            </w:r>
          </w:p>
        </w:tc>
        <w:tc>
          <w:tcPr>
            <w:tcW w:type="dxa" w:w="99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Prec. passes</w:t>
            </w:r>
          </w:p>
        </w:tc>
        <w:tc>
          <w:tcPr>
            <w:tcW w:type="dxa" w:w="99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Chutes a gol/j</w:t>
            </w:r>
          </w:p>
        </w:tc>
        <w:tc>
          <w:tcPr>
            <w:tcW w:type="dxa" w:w="726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xG/j</w:t>
            </w:r>
          </w:p>
        </w:tc>
        <w:tc>
          <w:tcPr>
            <w:tcW w:type="dxa" w:w="99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Gols sofr./j</w:t>
            </w:r>
          </w:p>
        </w:tc>
        <w:tc>
          <w:tcPr>
            <w:tcW w:type="dxa" w:w="907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Class. média</w:t>
            </w:r>
          </w:p>
        </w:tc>
        <w:tc>
          <w:tcPr>
            <w:tcW w:type="dxa" w:w="99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Avanço</w:t>
            </w:r>
          </w:p>
        </w:tc>
      </w:tr>
      <w:tr>
        <w:tc>
          <w:tcPr>
            <w:tcW w:type="dxa" w:w="20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Elite técnica</w:t>
            </w:r>
          </w:p>
        </w:tc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57,2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89,3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6,39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1,81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1,13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12,3º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91%</w:t>
            </w:r>
          </w:p>
        </w:tc>
      </w:tr>
      <w:tr>
        <w:tc>
          <w:tcPr>
            <w:tcW w:type="dxa" w:w="20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Equilibradas competitivas</w:t>
            </w:r>
          </w:p>
        </w:tc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8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54,7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88,9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4,40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1,27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1,26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18,1º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87%</w:t>
            </w:r>
          </w:p>
        </w:tc>
      </w:tr>
      <w:tr>
        <w:tc>
          <w:tcPr>
            <w:tcW w:type="dxa" w:w="20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Reativas de baixa posse</w:t>
            </w:r>
          </w:p>
        </w:tc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8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42,9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83,6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3,28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0,80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1,67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31,9º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57%</w:t>
            </w:r>
          </w:p>
        </w:tc>
      </w:tr>
      <w:tr>
        <w:tc>
          <w:tcPr>
            <w:tcW w:type="dxa" w:w="20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Frágeis defensivamente</w:t>
            </w:r>
          </w:p>
        </w:tc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35,0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78,8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2,19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0,46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2,94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40,3º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8 — Perfis identificados (médias dos centroides). "Avanço" é o percentual do grupo que passou à fase eliminatória.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Elite técnica (11 seleções, 91% de avanço): posse de 57%, 6,4 chutes a gol e 1,81 de xG por jogo. Reúne os quatro semifinalistas, mas também Turquia e Alemanha — que produziram como elite e caíram cedo, lembrete de que o perfil descreve o processo, não garante o resultado.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Equilibradas competitivas (15, 87%): indicadores próximos da elite em posse e precisão de passes, com metade do volume ofensivo qualificado. É o perfil mais numeroso e o que melhor descreve o efeito do novo formato — seleções como Marrocos, Suíça e México chegaram longe com jogo controlado e produção moderada.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Reativas de baixa posse (14, 57%): 43% de posse e 0,80 de xG por jogo, com defesa mediana. Metade avançou, o que mostra que abdicar da bola era estratégia viável em grupos de quatro com oito melhores terceiros classificando.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Frágeis defensivamente (8, 13%): 35% de posse, 78,8% de precisão de passes e 2,94 gols sofridos por jogo. Praticamente todas eliminadas na primeira fase.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Regras de associação (Apriori)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responder "que combinações de características acompanham cada desfecho?" em formato legível para o negócio, aplicou-se o algoritmo Apriori. As variáveis contínuas foram discretizadas em alto/baixo pela mediana do torneio — corte objetivo, que produz classes balanceadas — e os desfechos competitivos entraram como itens. Parâmetros: suporte mínimo de 15%, confiança mínima de 70%, lift acima de 1,1. Das 1191 regras geradas a partir de 288 itemsets frequentes, restaram 26 após filtrar por desfecho competitivo no consequente e descartar antecedentes redundantes (regra cujo antecedente contém outra regra de confiança igual ou maior).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3629"/>
        <w:gridCol w:w="2268"/>
        <w:gridCol w:w="998"/>
        <w:gridCol w:w="1089"/>
        <w:gridCol w:w="1089"/>
      </w:tblGrid>
      <w:tr>
        <w:trPr>
          <w:tblHeader/>
        </w:trPr>
        <w:tc>
          <w:tcPr>
            <w:tcW w:type="dxa" w:w="362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Se (antecedente)</w:t>
            </w:r>
          </w:p>
        </w:tc>
        <w:tc>
          <w:tcPr>
            <w:tcW w:type="dxa" w:w="226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Então</w:t>
            </w:r>
          </w:p>
        </w:tc>
        <w:tc>
          <w:tcPr>
            <w:tcW w:type="dxa" w:w="998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Suporte</w:t>
            </w:r>
          </w:p>
        </w:tc>
        <w:tc>
          <w:tcPr>
            <w:tcW w:type="dxa" w:w="108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Confiança</w:t>
            </w:r>
          </w:p>
        </w:tc>
        <w:tc>
          <w:tcPr>
            <w:tcW w:type="dxa" w:w="108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Lift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vazada + posse baixa + volume ofensivo baixo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eliminado nos grupos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92%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2,75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vazada + passe impreciso + volume ofensivo baixo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eliminado nos grupos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92%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2,75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vazada + volume ofensivo baixo + xg baixo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eliminado nos grupos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2,54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vazada + volume ofensivo baixo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eliminado nos grupos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23%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79%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2,36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solida + volume ofensivo alto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avancou mata mata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1,50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solida + posse alta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avancou mata mata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31%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94%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1,41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solida + passe preciso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avancou mata mata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27%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93%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1,39</w:t>
            </w:r>
          </w:p>
        </w:tc>
      </w:tr>
      <w:tr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defesa solida + indisciplina baixa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avancou mata mata</w:t>
            </w:r>
          </w:p>
        </w:tc>
        <w:tc>
          <w:tcPr>
            <w:tcW w:type="dxa" w:w="99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92%</w:t>
            </w:r>
          </w:p>
        </w:tc>
        <w:tc>
          <w:tcPr>
            <w:tcW w:type="dxa" w:w="108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1,39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9 — Melhores regras de cada desfecho, ordenadas por lift.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regra mais forte no sentido positivo é categórica: defesa sólida combinada a volume ofensivo alto implica avanço ao mata-mata com 100% de confiança e 29% de suporte — 14 das 48 seleções reúnem as duas características e todas as 14 avançaram. No sentido negativo, defesa vazada combinada a posse baixa e pouco volume ofensivo implica eliminação na fase de grupos com 92% de confiança e lift 2,75. Chama atenção que a posse de bola só aparece nas regras como acompanhante: nenhuma regra com posse alta isolada atinge os limiares, enquanto defesa sólida aparece em todas as regras de avanço.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4.3 Classificação por árvore de decisão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 48 observações, uma árvore de decisão não serve para previsão fora da amostra — serve para identificar quais variáveis separam as classes e em que ponto de corte. Limitou-se a profundidade a 2 e aplicou-se poda por complexidade de custo, com validação cruzada leave-one-out. A acurácia foi de 93,8%, contra 66,7% do palpite pela classe majoritária, com recall de 100% para quem avançou (nenhum falso negativo) e três falsos positivos.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aprendida: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uma seleção que marca mais de 1,12 gol por jogo avança; entre as que marcam menos, avançam as que sofrem no máximo 1,29 gol por jogo. Duas variáveis — gols marcados (importância 0,61) e gols sofridos por jogo (0,40) — bastam para classificar 45 das 48 seleções.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valor gerencial dessa árvore não está no acerto, e sim na simplicidade do critério: no formato de 2026, produzir cerca de 1,1 gol por partida ou blindar a defesa em torno de 1,3 gol sofrido delimitava a fronteira entre seguir no torneio e voltar para casa na primeira fase.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5. Dashboard: decisões de visualização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dashboard é um arquivo HTML autocontido, sem dependência de servidor ou de biblioteca externa: os dados tratados são embutidos como JSON e todos os gráficos são gerados em SVG por código próprio. Essa decisão de arquitetura atende ao requisito de entrega (um arquivo que abre em qualquer navegador, inclusive offline) e evita que a análise dependa da disponibilidade futura de um serviço externo.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5.1 Escolha do tipo de gráfico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painel foi escolhido a partir da tarefa visual que ele precisa cumprir, não por variedade estética. A tabela abaixo registra a decisão e a alternativa recusada.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2359"/>
        <w:gridCol w:w="2359"/>
        <w:gridCol w:w="4355"/>
      </w:tblGrid>
      <w:tr>
        <w:trPr>
          <w:tblHeader/>
        </w:trPr>
        <w:tc>
          <w:tcPr>
            <w:tcW w:type="dxa" w:w="235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Pergunta do painel</w:t>
            </w:r>
          </w:p>
        </w:tc>
        <w:tc>
          <w:tcPr>
            <w:tcW w:type="dxa" w:w="235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Forma escolhida</w:t>
            </w:r>
          </w:p>
        </w:tc>
        <w:tc>
          <w:tcPr>
            <w:tcW w:type="dxa" w:w="4355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Por que, e o que foi recusado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Quanto cada seleção produz em um indicador?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Barras horizontais, série única, ordenadas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Comparação de magnitude com rótulos longos. Recusado o gráfico de pizza: 48 categorias e valores próximos.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Como ataque e defesa se combinam?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Dispersão com linhas de mediana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Duas variáveis contínuas e formação de quadrantes. Recusado o gráfico de barras duplas, que esconderia a relação.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 distribuição de gols é aleatória?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Colunas agrupadas: observado x esperado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Comparação de duas distribuições na mesma escala. Recusado o eixo duplo, que inventaria correlação.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que separa quem avançou de quem caiu?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Dumbbell (duas medianas ligadas)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Mostra a distância entre grupos por indicador em um eixo único. Recusadas barras lado a lado, que dobram as marcas sem acrescentar informação.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Que indicadores acompanham a classificação?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Barras divergentes com zero central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 sinal do coeficiente é a informação principal. Recusada a escala sequencial, que perderia a polaridade.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Como se distinguem os perfis?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Mapa de calor divergente de z-scores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Matriz perfil x indicador com desvio em relação à média. Recusado o gráfico de radar, de leitura ambígua e área enganosa.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Onde cada seleção está no espaço de indicadores?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Painéis pequenos (um por perfil)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Evita quatro cores simultâneas em dispersão, situação em que a separação por daltonismo não se sustenta. Cada painel usa uma cor e cinza de contexto.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Qual o caminho até o título?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Chaveamento em colunas por fase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Estrutura hierárquica do mata-mata. Recusado o diagrama Sankey, desproporcional para 32 confrontos.</w:t>
            </w:r>
          </w:p>
        </w:tc>
      </w:tr>
      <w:tr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Números-chave do torneio</w:t>
            </w:r>
          </w:p>
        </w:tc>
        <w:tc>
          <w:tcPr>
            <w:tcW w:type="dxa" w:w="23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Faixa de indicadores (stat tiles)</w:t>
            </w:r>
          </w:p>
        </w:tc>
        <w:tc>
          <w:tcPr>
            <w:tcW w:type="dxa" w:w="43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Quando a informação é um número, o número é o gráfico. Recusado o gráfico de uma barra.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10 — Mapa de decisões de forma visual.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5.2 Organização e hierarquia da informação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painel segue a lógica do geral para o particular, em cinco blocos: identificação e resultado final; faixa de seis indicadores-chave; panorama do torneio; desempenho das seleções; estatística aplicada; mineração de dados; e, por último, a base de fatos (partidas, chaveamento e tabelas dos grupos). Um leitor que pare no primeiro terço da página já sabe quem foi campeão, quantos gols houve e como o torneio se comportou; quem precisa auditar um número específico encontra a tabela no fim. Dentro de cada seção, o painel mais importante ocupa a coluna mais larga da grade.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cartão traz título, uma frase de leitura — o que o gráfico mostra, não o que ele é — e nota de rodapé com o detalhe metodológico. Essa estrutura de três níveis permite que o mesmo painel sirva para leitura rápida e para conferência técnica.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5.3 Uso de cores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paleta separa três funções, para que a cor nunca signifique duas coisas ao mesmo tempo. Os neutros da interface têm leve viés verde, referência discreta ao gramado, e o acento em tom de bronze é reservado à navegação e aos rótulos de seção — nunca a dados. As séries de dados usam três matizes (azul, laranja, aqua) de uma paleta previamente validada para deficiência de visão de cores, e as barras divergentes usam o par azul-vermelho com cinza neutro no zero, porque os polos precisam ler como opostos.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validação não foi feita a olho: a paleta passou por verificação programática de faixa de luminosidade, piso de croma, separação sob simulação de protanopia, deuteranopia e tritanopia (ΔE mínimo de 9,2 em OKLab, acima do limiar de 8) e contraste contra a superfície, nos dois temas. Nos gráficos de dispersão, em que qualquer par de cores pode ficar adjacente, o número de séries foi limitado a duas e os perfis foram separados em painéis pequenos — decisão tomada justamente porque quatro matizes simultâneos não passariam no teste. A identidade nunca depende só da cor: há legenda em todo painel com duas ou mais séries, rótulos diretos seletivos e tabela equivalente.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painel foi construído para os dois temas do sistema operacional. Todas as cores são definidas como variáveis em três escopos (claro, preferência de sistema escuro e escolha explícita do leitor), e o tema escuro tem passos próprios das mesmas matizes, validados contra a superfície escura — não é uma inversão automática do tema claro.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5.4 Legibilidade e redução de elementos desnecessários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Grades e eixos em traço fino e sólido, uma tonalidade acima da superfície; nada tracejado, que leria como projeção ou limite.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Marcas finas com extremidade arredondada de 4 px ancorada na linha de base; folga de 2 px entre barras vizinhas em vez de contorno.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Rótulo de valor apenas onde a leitura exige — extremo da barra, ponto destacado — e nunca sobre todos os pontos de uma dispersão.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Números em fonte de largura fixa apenas nas tabelas e nos eixos, onde as colunas precisam alinhar; nos números grandes, figuras proporcionais.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Nenhuma moldura, sombra pesada, gradiente ou efeito tridimensional: os quatro pixels de tinta que não informam foram removidos.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Conteúdo largo (tabelas, chaveamento, mapa de calor) rola dentro do próprio cartão, de modo que a página nunca rola na horizontal — verificado em viewport de 420 px.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5.5 Interatividade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Há uma única linha de filtros, fixa no alto da página, que governa todos os painéis simultaneamente — fase da competição, confederação, perfil tático, indicador do ranking e busca por seleção. Filtros dentro de cartões individuais foram deliberadamente evitados: eles fragmentam o estado do painel e o leitor perde a noção de qual recorte está vendo. Um contador ao lado dos filtros informa quantas seleções e quantas partidas compõem o recorte atual, para que nenhum gráfico seja lido sob premissa errada.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Cada marca tem alvo de interação maior que a própria marca (aproximadamente 24 px), com dica de contexto que traz o dado exato mais informação adicional — classificação final, campanha, minutos por gol. A dica de contexto, porém, nunca é o único caminho para um valor: todo gráfico tem um botão que abre a tabela equivalente, e é ela que garante o acesso a quem usa leitor de tela, imprime a página ou simplesmente prefere números. As marcas também recebem foco por teclado, exibindo a mesma informação do passe do mouse.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5.6 Destaque dos indicadores principais e adequação ao público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seleção campeã aparece em cor de destaque nos rankings; o vencedor da Chuteira de Ouro, no gráfico de artilharia; as seleções que chegaram às quartas de final recebem marca maior na dispersão; e os resultados significativos a 5% aparecem em negrito no painel de comparação entre grupos, com marcador ao lado do coeficiente nas correlações. O destaque é sempre por atributo do dado, e o mesmo atributo mantém a mesma cor quando o filtro muda — um leitor que aprendeu "laranja é o campeão" não é traído por uma repintura ao filtrar.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Para o público definido na seção 1, três decisões foram determinantes: rótulos e notas em português, sem jargão de código; explicitação do teste estatístico e do p-valor ao lado do resultado, porque o leitor acadêmico precisa poder contestar; e rodapé com método, limitações e as 53 fontes, porque em trabalho avaliado a procedência é parte do resultado.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6. Principais resultados e insights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Solidez defensiva é o fator mais associado ao avanço, e aparece em todas as regras positivas. Manter a meta invicta multiplica por 2,53 a probabilidade de vitória; defesa sólida combinada a volume ofensivo alto levou 14 de 14 seleções ao mata-mata. A campanha da Espanha é o caso extremo: um gol sofrido em oito partidas.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Posse de bola é meio, não fim. Correlaciona-se com o resultado (ρ = 0,63 com o aproveitamento), mas é o mais fraco dos indicadores ofensivos e desaparece das regras de associação quando isolada. Ter mais posse que a média não acrescenta vantagem: o tercil intermediário avançou tanto quanto o superior.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que distingue os grupos é volume qualificado de finalização, não pontaria. Chutes a gol por jogo separam claramente quem avançou de quem caiu (p &lt; 0,001), enquanto a precisão de finalização não separa (p = 0,186).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xG explica 85% dos gols marcados, e o resíduo tem nome. Argentina (+5,7), Países Baixos (+5,6) e Estados Unidos (+5,5) converteram bem acima do esperado; Turquia (−3,2) e Equador (−2,9) desperdiçaram o que criaram — e ambas caíram na primeira fase apesar de indicadores de criação compatíveis com o mata-mata.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Quatro perfis de jogo, com taxas de avanço de 91%, 87%, 57% e 13%. A fronteira decisiva não está entre a elite técnica e as equilibradas competitivas — que avançam quase na mesma proporção — mas entre estas e as seleções de defesa vazada.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Duas variáveis bastam para classificar 45 das 48 seleções: marcar mais de 1,12 gol por jogo, ou sofrer no máximo 1,29 quando se marca menos.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produção de gols seguiu um processo de Poisson (p = 0,614), apesar do formato novo e da maior desigualdade entre adversários — o que sustenta tratar o torneio com os modelos usuais de futebol.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mata-mata não foi mais travado: 2,99 gols por partida na fase de grupos contra 2,91 no mata-mata (diferença não significativa), com 21 dos 32 jogos eliminatórios decididos por um gol ou empatados no tempo normal.</w:t>
      </w:r>
    </w:p>
    <w:p>
      <w:pPr>
        <w:pStyle w:val="ListParagraph"/>
        <w:numPr>
          <w:ilvl w:val="0"/>
          <w:numId w:val="4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expansão para 48 seleções não produziu goleada generalizada. A média de 2,96 gols por partida ficou próxima da série recente, e metade das seleções de baixa posse avançou — o formato com oito melhores terceiros premiou o jogo reativo bem executado.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7. Conclusões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pergunta que abriu o estudo — o que está associado ao avanço na Copa de 2026 — tem resposta consistente entre técnicas independentes. A comparação entre grupos, as regras de associação e a árvore de decisão convergem para o mesmo par de fatores: quanto a seleção sofre e quanto ela produz de finalização qualificada. Indicadores de estilo, como posse de bola e volume de passes, aparecem associados ao desempenho, mas perdem força quando controlados pelos indicadores de eficácia — sinal de que descrevem o caminho, não o destino. Essa convergência é, em si, um resultado metodológico: quando três técnicas com pressupostos diferentes apontam para as mesmas variáveis, a conclusão não depende da escolha de uma delas.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 ponto de vista da disciplina de visualização, o exercício reforçou que as decisões de maior efeito não são estéticas. Normalizar indicadores por partida evitou uma conclusão falsa (seleções eliminadas cedo pareceriam piores do que são); limitar as séries por gráfico e separar perfis em painéis pequenos preservou a legibilidade sob deficiência de visão de cores; e manter uma tabela equivalente ao lado de cada gráfico transformou o painel de peça de apresentação em instrumento auditável. Um dashboard cujos números não podem ser conferidos não é um dashboard analítico.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Como continuidade, três caminhos são naturais: incorporar dados por partida e por jogador — hoje indisponíveis publicamente em formato estruturado — para modelar sequências de jogo e não apenas agregados; aplicar as mesmas técnicas às edições de 2018 e 2022 para separar o efeito do novo formato do efeito de torneio; e testar modelos de expectativa de gols próprios, reduzindo a dependência de um provedor único de xG.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8. Integração das disciplinas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tabela a seguir registra cada técnica utilizada, a disciplina de origem e a forma concreta de aplicação neste estudo de caso.</w:t>
      </w:r>
    </w:p>
    <w:tbl>
      <w:tblPr>
        <w:tblW w:type="dxa" w:w="9072"/>
        <w:tblBorders>
          <w:top w:val="single" w:color="C9CDC4" w:sz="4"/>
          <w:left w:val="none" w:color="auto" w:sz="0"/>
          <w:bottom w:val="single" w:color="C9CDC4" w:sz="4"/>
          <w:right w:val="none" w:color="auto" w:sz="0"/>
          <w:insideH w:val="single" w:color="E4E7E0" w:sz="2"/>
          <w:insideV w:val="none" w:color="auto" w:sz="0"/>
        </w:tblBorders>
      </w:tblPr>
      <w:tblGrid>
        <w:gridCol w:w="2177"/>
        <w:gridCol w:w="1996"/>
        <w:gridCol w:w="4899"/>
      </w:tblGrid>
      <w:tr>
        <w:trPr>
          <w:tblHeader/>
        </w:trPr>
        <w:tc>
          <w:tcPr>
            <w:tcW w:type="dxa" w:w="2177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Técnica</w:t>
            </w:r>
          </w:p>
        </w:tc>
        <w:tc>
          <w:tcPr>
            <w:tcW w:type="dxa" w:w="1996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Disciplina de origem</w:t>
            </w:r>
          </w:p>
        </w:tc>
        <w:tc>
          <w:tcPr>
            <w:tcW w:type="dxa" w:w="4899"/>
            <w:shd w:fill="EEF0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5F5A"/>
                <w:sz w:val="17"/>
                <w:szCs w:val="17"/>
              </w:rPr>
              <w:t xml:space="preserve">Como foi aplicada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Coleta e integração de dados de múltiplas fontes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Preparação e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Consolidação de três blocos de dados em Python, com padronização de nomes por dicionário de sinônimos e chave canônica.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Limpeza e auditoria de consistência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Preparação e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Reconstrução aritmética das 48 linhas das tabelas de grupo a partir dos 72 placares; conferência do total de 308 gols e da coerência entre jogos disputados e fase alcançada.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Criação de variáveis e indicadores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Preparação e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Normalização por partida, taxas de aproveitamento e eficiência, diferença entre gols e xG, índice de disciplina.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Análise exploratória de dados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Preparação e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Distribuições de gols por fase, dispersão dos indicadores entre as 48 seleções, identificação de valores extremos.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descritiva e medidas de dispersão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Aplicada à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Média, mediana, moda, desvio-padrão, quartis, coeficiente de variação, assimetria e curtose dos gols por partida e dos indicadores por seleção.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Teste de aderência (qui-quadrado)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Aplicada à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Verificação de que os gols por partida seguem distribuição de Poisson (χ² = 2,67, p = 0,614).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Correlação (Pearson e Spearman)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Aplicada à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Relação entre xG e gols (r = 0,92) e entre 13 indicadores e a classificação final por coeficiente ordinal.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Comparação entre grupos (Mann-Whitney U)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Aplicada à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Teste não paramétrico entre as 32 seleções que avançaram e as 16 eliminadas, com tamanho de efeito r.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Análise de associação (qui-quadrado e V de Cramér)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Estatística Aplicada à Análise de Dados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invicta x vitória (risco relativo 2,53); tercil de posse x avanço; confederação x avanço.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Clusterização (K-Means)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Mineração de Dados aplicada a Negócios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Agrupamento das 48 seleções em quatro perfis de jogo, com padronização z-score, diagnóstico por cotovelo e silhueta.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Redução de dimensionalidade (PCA)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Mineração de Dados aplicada a Negócios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Projeção dos oito indicadores em duas componentes (81,2% da variância) para visualizar os clusters e diagnosticar o eixo dominante.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Regras de associação (Apriori)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Mineração de Dados aplicada a Negócios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Descoberta de combinações de características associadas ao avanço e à eliminação, com suporte, confiança, lift e poda de regras redundantes.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Classificação (árvore de decisão)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Mineração de Dados aplicada a Negócios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Identificação dos pontos de corte que separam quem avança (93,8% de acurácia em validação leave-one-out).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Escolha de formas visuais por tarefa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Visualização de Dados e Dashboards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Mapa de decisão painel por painel (Tabela 10), com registro das alternativas recusadas.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Paleta acessível e validada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Visualização de Dados e Dashboards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Verificação programática de contraste, croma e separação sob três tipos de deficiência de visão de cores, nos temas claro e escuro.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Hierarquia da informação e interatividade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Visualização de Dados e Dashboards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Faixa de indicadores, linha única de filtros que governa todos os painéis, dicas de contexto e tabela equivalente para cada gráfico.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Construção do dashboard</w:t>
            </w:r>
          </w:p>
        </w:tc>
        <w:tc>
          <w:tcPr>
            <w:tcW w:type="dxa" w:w="1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Visualização de Dados e Dashboards</w:t>
            </w:r>
          </w:p>
        </w:tc>
        <w:tc>
          <w:tcPr>
            <w:tcW w:type="dxa" w:w="48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Arquivo HTML autocontido, com dados embutidos e gráficos gerados em SVG por código próprio, sem dependência externa.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A5F5A"/>
          <w:sz w:val="17"/>
          <w:szCs w:val="17"/>
        </w:rPr>
        <w:t xml:space="preserve">Tabela 11 — Integração das disciplinas do MBA no estudo de caso.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9. Entregáveis e reprodução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pacote entregue reproduz integralmente a análise a partir dos dados brutos coletados: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dados/raw_grupos.json, raw_mata_mata.json, raw_stats_premios.json — dados coletados das fontes, com registro de fontes e lacunas.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dados/partidas.csv (104 partidas), partidas_selecao.csv (208 registros), selecoes.csv (48 seleções e 46 colunas), artilharia.csv (28 jogadores) — bases tratadas.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dados/validacao.txt — relatório de auditoria da base.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codigo/01_preparacao_dados.py — coleta, limpeza, integração, criação de indicadores e validação.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codigo/02_estatistica.py — estatística descritiva, Poisson, correlações, Mann-Whitney e associação.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codigo/03_mineracao.py — K-Means, PCA, Apriori e árvore de decisão.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codigo/04_exporta_dashboard.py e 05_gera_dashboard.py — consolidação do payload e geração do HTML.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codigo/06_teste_dashboard.py — verificação automatizada do dashboard em navegador headless (erros de console, filtros, rolagem horizontal, temas claro e escuro).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codigo/07_gera_relatorio.js — geração deste relatório a partir dos resultados analíticos.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saida/dashboard_copa2026.html — dashboard interativo, arquivo único.</w:t>
      </w:r>
    </w:p>
    <w:p>
      <w:pPr>
        <w:pStyle w:val="ListParagraph"/>
        <w:numPr>
          <w:ilvl w:val="0"/>
          <w:numId w:val="2"/>
        </w:numPr>
        <w:spacing w:after="70" w:line="264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saida/resultados_estatistica.json e resultados_mineracao.json — todos os resultados numéricos citados neste relatório.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Sequência de execução: python 01_preparacao_dados.py → 02_estatistica.py → 03_mineracao.py → 04_exporta_dashboard.py → 05_gera_dashboard.py → 06_teste_dashboard.py → node 07_gera_relatorio.js. Dependências: pandas, numpy, scipy, scikit-learn, mlxtend, playwright (verificação) e o pacote docx do Node (relatório).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Fontes consultadas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5A5F5A"/>
          <w:sz w:val="19"/>
          <w:szCs w:val="19"/>
        </w:rPr>
        <w:t xml:space="preserve">Relação completa dos 53 endereços utilizados na construção da base, também disponível no rodapé do dashboard.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https://blog.wego.com/fifa-world-cup-bracket/ (chave completa, usada como checagem cruzada)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https://ca.sports.yahoo.com/news/total-record-breaking-attendance-numbers-214338290.html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https://en.tempo.co/read/2114533/why-netherlands-win-fair-play-award-at-2026-world-cup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https://leaguecricketschedule.com/football-news/world-cup-2026-awards-winners/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https://news.northeastern.edu/2026/07/20/spain-world-cup-2026/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https://sports.yahoo.com/articles/surprise-farce-injustice-see-final-113200254.html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https://sports.yahoo.com/articles/world-cup-2026-stats-hit-112650559.html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https://sports.yahoo.com/articles/world-cup-2026-top-scorers-140655914.html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https://sports.yahoo.com/soccer/article/2026-fifa-world-cup-daily-schedule-every-match-date-kickoff-time-and-venue-for-all-48-teams-234515087.html (datas + estádios de todas as partidas)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https://sports.yahoo.com/soccer/article/2026-world-cup-results-standings-and-schedule-live-scores-group-stage-updates-and-how-to-watch-050724193.html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https://stadiumdb.com/news/2026/07/wc_2026_world_cup_in_numbers_what_was_attendance_like_during_the_competition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https://theanalyst.com/articles/switzerland-vs-colombia-stats-world-cup-2026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https://vovworld.vn/world-cup-2026/2026-world-cup-breaks-all-time-attendance-record-2450453.vov5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https://www.aljazeera.com/sports/2026/6/30/morocco-netherlands-world-cup-knockout-penalty-shootout-saibari-diop-gakpo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https://www.aljazeera.com/sports/2026/7/21/who-scored-the-most-goals-kept-clean-sheets-made-assists-fifa-world-cup-yellow-cards-saves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https://www.britannica.com/question/Who-won-the-Golden-Ball-Golden-Boot-and-Golden-Glove-awards-at-the-2026-FIFA-World-Cup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https://www.cbsnews.com/news/2026-fifa-world-cup-final-spain-argentina-sunday/ (detalhes da final)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https://www.cbssports.com/soccer/news/world-cup-group-standings-table-results/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https://www.espn.com/soccer/match/_/gameId/760488/morocco-netherlands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https://www.espn.com/soccer/match/_/gameId/760489/paraguay-germany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https://www.espn.com/soccer/match/_/gameId/760499/egypt-australia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https://www.espn.com/soccer/match/_/gameId/760508/colombia-switzerland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https://www.espn.com/soccer/match/_/gameId/760516/england-france (France 4-6 England, 18/07/2026)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https://www.espn.com/soccer/match/_/gameId/760517/argentina-spain (Spain 1-0 Argentina, 19/07/2026)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https://www.fifa.com/en/match-centre/match/17/285023/289287/400021513 (Germany v Paraguay 1-1)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https://www.fifa.com/en/match-centre/match/17/285023/289288/400021530 (Canada v Morocco 0-3)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https://www.fifa.com/en/match-centre/match/17/285023/289290/400021541 (Semi: France v Spain 0-2)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https://www.fifa.com/en/match-centre/match/17/285023/289291/400021542 (3º lugar: France v England 4-6)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https://www.fifa.com/en/match-centre/match/17/285023/289292/400021543 (Final: Spain v Argentina 1-0)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https://www.fifa.com/en/tournaments/mens/worldcup/canadamexicousa2026/articles/adidas-golden-boot-race-top-scorer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https://www.fifa.com/en/tournaments/mens/worldcup/canadamexicousa2026/articles/australia-egypt-match-report-highlights (Australia 1-1 Egypt, 2-4 PSO)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https://www.fifa.com/en/tournaments/mens/worldcup/canadamexicousa2026/articles/netherlands-morocco-review-highlights (Netherlands 1-1 Morocco, PSO 2-3)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https://www.fifa.com/en/tournaments/mens/worldcup/canadamexicousa2026/articles/switzerland-colombia-match-report-highlights (Switzerland 0-0 Colombia, 4-3 PSO)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https://www.fifa.com/match-centre/match/17/285023/289290/400021540 (Semi: England v Argentina 1-2)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https://www.footballparadise.com/world-cup/stats/goals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https://www.fotmob.com/leagues/77/stats/season/24254/teams/possession_percentage_team/world-cup-teams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https://www.fourfourtwo.com/competition/all-of-the-world-cup-scores-so-far-at-the-2026-tournament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https://www.foxsports.com/soccer/fifa-world-cup/standings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https://www.foxsports.com/soccer/fifa-world-cup/team-stats?category=offensive&amp;sort=t_pa&amp;season=2026&amp;sortOrder=desc&amp;groupId=12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https://www.foxsports.com/soccer/fifa-world-cup/team-stats?category=standard&amp;sort=t_xg&amp;season=2026&amp;sortOrder=desc&amp;groupId=12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https://www.foxsports.com/stories/soccer/2026-fifa-world-cup-golden-boot-tracker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https://www.foxsports.com/stories/soccer/paraguay-knocks-germany-out-2026-world-cup-after-penalty-shootout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https://www.livescore.com/en/news/football/world-cup/world-cup-2026-through-the-numbers/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https://www.nbcsports.com/soccer/news/2026-world-cup-award-winners-golden-boot-golden-ball-best-young-player-golden-glove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https://www.nbcsports.com/soccer/news/2026-world-cup-group-stage-table-full-standings-for-all-12-groups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https://www.si.com/soccer/2026-world-cup-quarterfinal-semifinal-locations-stadiums-schedule-kickoff-times (sedes de quartas e semis)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https://www.skysports.com/football/news/11095/13563675/world-cup-2026-data-analysis-record-goals-bigger-fifa-ranking-gaps-older-starting-xis-travel-heat-penalties-substitutes-and-how-spain-won-it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https://www.skysports.com/football/news/11095/13564837/world-cup-2026-golden-boot-race-kylian-mbappe-beats-lionel-messi-to-become-top-goalscorer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https://www.thedailystar.net/sports/sports-special/fifa-world-cup-2026/news/308-104-matches-how-the-goals-were-scored-4229676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https://www.thenationalnews.com/sport/world-cup-2026/2026/07/24/world-cup-2026-final-rankings-all-48-teams-rated-by-fifa/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https://www.worldfootball.net/competition/co139/fifa-world-cup/ro186353/round-of-32/results-and-standings/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https://www.worldfootball.net/competition/co139/fifa-world-cup/se64325/2026-canada-mexico-usa/ro186326/round-of-16/matches-and-results/</w:t>
      </w:r>
    </w:p>
    <w:p>
      <w:pPr>
        <w:spacing w:after="30"/>
        <w:jc w:val="left"/>
      </w:pPr>
      <w:r>
        <w:rPr>
          <w:rFonts w:ascii="Calibri" w:cs="Calibri" w:eastAsia="Calibri" w:hAnsi="Calibri"/>
          <w:color w:val="5A5F5A"/>
          <w:sz w:val="15"/>
          <w:szCs w:val="15"/>
        </w:rPr>
        <w:t xml:space="preserve">https://www.worldfootball.net/competition/co139/fifa-world-cup/se64325/2026-canada-mexico-usa/ro186329/quarter-finals/matches-and-results/</w:t>
      </w:r>
    </w:p>
    <w:sectPr>
      <w:footerReference w:type="default" r:id="rId7"/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5A"/>
        <w:sz w:val="15"/>
        <w:szCs w:val="15"/>
      </w:rPr>
      <w:t xml:space="preserve">Copa do Mundo FIFA 2026 — estudo de caso · </w:t>
    </w:r>
    <w:r>
      <w:rPr>
        <w:rFonts w:ascii="Calibri" w:cs="Calibri" w:eastAsia="Calibri" w:hAnsi="Calibri"/>
        <w:color w:val="5A5F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caso — Copa do Mundo FIFA 2026</dc:title>
  <dc:creator>Carlos Rodrigues</dc:creator>
  <dc:description>Estatística aplicada, mineração de dados e visualização — MBA</dc:description>
  <cp:lastModifiedBy>Un-named</cp:lastModifiedBy>
  <cp:revision>1</cp:revision>
  <dcterms:created xsi:type="dcterms:W3CDTF">2026-08-21T19:56:32.742Z</dcterms:created>
  <dcterms:modified xsi:type="dcterms:W3CDTF">2026-08-21T19:56:32.742Z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