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4AE1D" w14:textId="77777777" w:rsidR="00D46199" w:rsidRPr="00897914" w:rsidRDefault="00D46199" w:rsidP="00D46199">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17784F5A" w14:textId="77777777" w:rsidR="00D46199" w:rsidRDefault="00D46199" w:rsidP="00D46199">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7D88E7BD" w14:textId="77777777" w:rsidR="00D46199" w:rsidRDefault="00D46199" w:rsidP="00D46199">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082F38C5" w14:textId="77777777" w:rsidR="00D46199" w:rsidRPr="00D46199" w:rsidRDefault="00D46199" w:rsidP="00D46199">
      <w:pPr>
        <w:jc w:val="center"/>
        <w:rPr>
          <w:rFonts w:ascii="Times New Roman" w:hAnsi="Times New Roman" w:cs="Times New Roman"/>
          <w:b/>
          <w:sz w:val="20"/>
          <w:szCs w:val="20"/>
          <w:lang w:val="ro-RO"/>
        </w:rPr>
      </w:pPr>
    </w:p>
    <w:p w14:paraId="16A1A1D4" w14:textId="77777777" w:rsidR="00D46199" w:rsidRDefault="00D46199" w:rsidP="00D46199">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51CA07B3" w14:textId="77777777" w:rsidR="00D46199" w:rsidRDefault="00D46199" w:rsidP="00D46199">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{{nume_lucrare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 xml:space="preserv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r w:rsidR="000D7293">
        <w:rPr>
          <w:rFonts w:ascii="Calibri" w:hAnsi="Calibri" w:cs="Calibri"/>
          <w:b/>
          <w:bCs/>
          <w:spacing w:val="-3"/>
          <w:sz w:val="24"/>
          <w:szCs w:val="24"/>
          <w:lang w:val="ro-RO"/>
        </w:rPr>
        <w:t>_CU</w:t>
      </w:r>
      <w:r>
        <w:rPr>
          <w:rFonts w:ascii="Calibri" w:hAnsi="Calibri" w:cs="Calibri"/>
          <w:b/>
          <w:bCs/>
          <w:spacing w:val="-3"/>
          <w:sz w:val="24"/>
          <w:szCs w:val="24"/>
          <w:lang w:val="ro-RO"/>
        </w:rPr>
        <w:t>}}</w:t>
      </w:r>
    </w:p>
    <w:p w14:paraId="4E963505" w14:textId="77777777" w:rsidR="00D46199" w:rsidRPr="00C95E88" w:rsidRDefault="00D46199" w:rsidP="00D46199">
      <w:pPr>
        <w:spacing w:line="276" w:lineRule="auto"/>
        <w:jc w:val="center"/>
        <w:rPr>
          <w:rFonts w:ascii="Calibri" w:hAnsi="Calibri" w:cs="Calibri"/>
          <w:b/>
          <w:bCs/>
          <w:spacing w:val="-3"/>
          <w:sz w:val="24"/>
          <w:szCs w:val="24"/>
          <w:lang w:val="ro-RO"/>
        </w:rPr>
      </w:pPr>
    </w:p>
    <w:p w14:paraId="737CD63B"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sidR="000D7293">
        <w:rPr>
          <w:rFonts w:ascii="Polo" w:hAnsi="Polo"/>
          <w:b/>
          <w:bCs/>
          <w:sz w:val="24"/>
          <w:szCs w:val="24"/>
        </w:rPr>
        <w:t>mp</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17339856" w14:textId="77777777" w:rsidR="00D46199" w:rsidRDefault="00D46199" w:rsidP="00D46199">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3167DB4F" w14:textId="77777777" w:rsidR="00D46199" w:rsidRPr="00D46EA4" w:rsidRDefault="00D46199" w:rsidP="00D46199">
      <w:pPr>
        <w:pStyle w:val="BodyText"/>
        <w:spacing w:line="276" w:lineRule="auto"/>
        <w:ind w:left="360"/>
        <w:jc w:val="both"/>
        <w:rPr>
          <w:rFonts w:ascii="Polo" w:hAnsi="Polo"/>
          <w:sz w:val="24"/>
          <w:szCs w:val="24"/>
        </w:rPr>
      </w:pPr>
    </w:p>
    <w:p w14:paraId="785524C9" w14:textId="77777777" w:rsidR="00D46199" w:rsidRDefault="00D46199" w:rsidP="00D46199">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757130F9" w14:textId="77777777" w:rsidR="00D46199" w:rsidRDefault="00D46199" w:rsidP="00D46199">
      <w:pPr>
        <w:pStyle w:val="BodyText"/>
        <w:spacing w:line="276" w:lineRule="auto"/>
        <w:ind w:firstLine="720"/>
        <w:jc w:val="both"/>
        <w:rPr>
          <w:rFonts w:ascii="Polo" w:hAnsi="Polo"/>
          <w:b/>
          <w:bCs/>
          <w:sz w:val="24"/>
          <w:szCs w:val="24"/>
        </w:rPr>
      </w:pPr>
    </w:p>
    <w:p w14:paraId="1270A756" w14:textId="77777777" w:rsidR="00D46199" w:rsidRPr="00897914" w:rsidRDefault="00D46199" w:rsidP="00D46199">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6D050DB" w14:textId="77777777" w:rsidR="00D46199" w:rsidRPr="00D26C4D" w:rsidRDefault="00D46199" w:rsidP="00D46199">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00BAA765"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Art. 12. </w:t>
      </w:r>
    </w:p>
    <w:p w14:paraId="13B48C42"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10758D28"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08B4F9F5"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w:t>
      </w:r>
      <w:r w:rsidRPr="00D26C4D">
        <w:rPr>
          <w:rFonts w:ascii="Polo" w:hAnsi="Polo"/>
          <w:i/>
          <w:sz w:val="24"/>
        </w:rPr>
        <w:lastRenderedPageBreak/>
        <w:t xml:space="preserve">vecinătatea capacităţii energetice se instituie limitări ale dreptului de proprietate în favoarea titularilor autorizaţiilor de înfiinţare şi de licenţe care beneficiază de: </w:t>
      </w:r>
    </w:p>
    <w:p w14:paraId="21E5F39A" w14:textId="77777777" w:rsidR="00D46199" w:rsidRPr="00D26C4D" w:rsidRDefault="00D46199" w:rsidP="00D46199">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0DBF10A3"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75EDE317"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422DCF72"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727C21CD"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1F29AA10"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1C6DF391" w14:textId="77777777" w:rsidR="00D46199" w:rsidRPr="00897914" w:rsidRDefault="00D46199" w:rsidP="00D46199">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4125CDA7" w14:textId="77777777" w:rsidR="00D46199" w:rsidRPr="00C95E88" w:rsidRDefault="00D46199" w:rsidP="00D46199">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{{nume_lucrare</w:t>
      </w:r>
      <w:r w:rsidR="000D7293">
        <w:rPr>
          <w:rFonts w:ascii="Polo" w:hAnsi="Polo"/>
          <w:b/>
          <w:sz w:val="24"/>
          <w:szCs w:val="24"/>
        </w:rPr>
        <w:t>_CU</w:t>
      </w:r>
      <w:r>
        <w:rPr>
          <w:rFonts w:ascii="Polo" w:hAnsi="Polo"/>
          <w:b/>
          <w:sz w:val="24"/>
          <w:szCs w:val="24"/>
        </w:rPr>
        <w:t xml:space="preserv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r w:rsidR="000D7293">
        <w:rPr>
          <w:rFonts w:ascii="Calibri" w:hAnsi="Calibri" w:cs="Calibri"/>
          <w:b/>
          <w:bCs/>
          <w:spacing w:val="-3"/>
          <w:sz w:val="24"/>
          <w:szCs w:val="24"/>
        </w:rPr>
        <w:t>_CU</w:t>
      </w:r>
      <w:r>
        <w:rPr>
          <w:rFonts w:ascii="Calibri" w:hAnsi="Calibri" w:cs="Calibri"/>
          <w:b/>
          <w:bCs/>
          <w:spacing w:val="-3"/>
          <w:sz w:val="24"/>
          <w:szCs w:val="24"/>
        </w:rPr>
        <w:t>}}.</w:t>
      </w:r>
    </w:p>
    <w:p w14:paraId="624F608C" w14:textId="77777777" w:rsidR="00D46199" w:rsidRDefault="00D46199" w:rsidP="00D46199">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1A37D5BF" w14:textId="77777777" w:rsidR="00D46199" w:rsidRPr="00D46199" w:rsidRDefault="00D46199" w:rsidP="00D46199">
      <w:pPr>
        <w:pStyle w:val="BodyText"/>
        <w:spacing w:line="276" w:lineRule="auto"/>
        <w:jc w:val="both"/>
        <w:rPr>
          <w:rFonts w:ascii="Polo" w:hAnsi="Polo"/>
          <w:sz w:val="12"/>
          <w:szCs w:val="12"/>
        </w:rPr>
      </w:pPr>
    </w:p>
    <w:p w14:paraId="6B0FAFAA" w14:textId="77777777" w:rsidR="00D46199" w:rsidRDefault="00D46199" w:rsidP="00D46199">
      <w:pPr>
        <w:pStyle w:val="BodyText"/>
        <w:spacing w:line="276" w:lineRule="auto"/>
        <w:jc w:val="both"/>
        <w:rPr>
          <w:rFonts w:ascii="Polo" w:hAnsi="Polo"/>
          <w:sz w:val="24"/>
          <w:szCs w:val="24"/>
        </w:rPr>
      </w:pPr>
      <w:r>
        <w:rPr>
          <w:rFonts w:ascii="Polo" w:hAnsi="Polo"/>
          <w:sz w:val="24"/>
          <w:szCs w:val="24"/>
        </w:rPr>
        <w:t>Contact: {{persoana_contact}}</w:t>
      </w:r>
    </w:p>
    <w:p w14:paraId="53D2FE33" w14:textId="77777777" w:rsidR="00A973BF" w:rsidRPr="00A973BF" w:rsidRDefault="00D46199" w:rsidP="00D46199">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606EC4AA" w14:textId="77777777" w:rsidR="007F5B30" w:rsidRPr="00E367D7" w:rsidRDefault="00D46199" w:rsidP="00645DA5">
      <w:pPr>
        <w:jc w:val="both"/>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166B3F0B" wp14:editId="2B5E361B">
            <wp:simplePos x="0" y="0"/>
            <wp:positionH relativeFrom="column">
              <wp:posOffset>3809711</wp:posOffset>
            </wp:positionH>
            <wp:positionV relativeFrom="paragraph">
              <wp:posOffset>873942</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260"/>
        <w:gridCol w:w="3397"/>
      </w:tblGrid>
      <w:tr w:rsidR="007F5B30" w14:paraId="1107CEEB" w14:textId="77777777" w:rsidTr="00A973BF">
        <w:tc>
          <w:tcPr>
            <w:tcW w:w="2405" w:type="dxa"/>
          </w:tcPr>
          <w:p w14:paraId="147B9B4E" w14:textId="77777777" w:rsidR="007F5B30" w:rsidRDefault="00A973BF" w:rsidP="00A973BF">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6501C83D" w14:textId="77777777" w:rsidR="007F5B30" w:rsidRDefault="007F5B30" w:rsidP="00001CA9">
            <w:pPr>
              <w:rPr>
                <w:rFonts w:ascii="Times New Roman" w:hAnsi="Times New Roman" w:cs="Times New Roman"/>
                <w:sz w:val="28"/>
                <w:szCs w:val="28"/>
                <w:lang w:val="it-IT"/>
              </w:rPr>
            </w:pPr>
          </w:p>
        </w:tc>
        <w:tc>
          <w:tcPr>
            <w:tcW w:w="3397" w:type="dxa"/>
          </w:tcPr>
          <w:p w14:paraId="106BC240" w14:textId="77777777" w:rsidR="007F5B30" w:rsidRPr="007F5B30" w:rsidRDefault="007F5B30" w:rsidP="007F5B30">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7F5B30" w14:paraId="11880AAE" w14:textId="77777777" w:rsidTr="00A973BF">
        <w:tc>
          <w:tcPr>
            <w:tcW w:w="2405" w:type="dxa"/>
          </w:tcPr>
          <w:p w14:paraId="7399D3A7" w14:textId="77777777" w:rsidR="007F5B30" w:rsidRPr="007F5B30" w:rsidRDefault="00000A47" w:rsidP="00A973BF">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3C575F">
              <w:rPr>
                <w:rFonts w:ascii="Times New Roman" w:hAnsi="Times New Roman" w:cs="Times New Roman"/>
                <w:sz w:val="28"/>
                <w:szCs w:val="28"/>
                <w:lang w:val="en-US"/>
              </w:rPr>
              <w:t>ata</w:t>
            </w:r>
            <w:r>
              <w:rPr>
                <w:rFonts w:ascii="Times New Roman" w:hAnsi="Times New Roman" w:cs="Times New Roman"/>
                <w:sz w:val="28"/>
                <w:szCs w:val="28"/>
                <w:lang w:val="en-US"/>
              </w:rPr>
              <w:t>}}</w:t>
            </w:r>
          </w:p>
        </w:tc>
        <w:tc>
          <w:tcPr>
            <w:tcW w:w="3260" w:type="dxa"/>
          </w:tcPr>
          <w:p w14:paraId="6F59960A" w14:textId="77777777" w:rsidR="007F5B30" w:rsidRDefault="007F5B30" w:rsidP="00001CA9">
            <w:pPr>
              <w:rPr>
                <w:rFonts w:ascii="Times New Roman" w:hAnsi="Times New Roman" w:cs="Times New Roman"/>
                <w:sz w:val="28"/>
                <w:szCs w:val="28"/>
                <w:lang w:val="it-IT"/>
              </w:rPr>
            </w:pPr>
          </w:p>
        </w:tc>
        <w:tc>
          <w:tcPr>
            <w:tcW w:w="3397" w:type="dxa"/>
          </w:tcPr>
          <w:p w14:paraId="5ADDFEE2" w14:textId="77777777" w:rsidR="007F5B30" w:rsidRDefault="000D7293" w:rsidP="007F5B30">
            <w:pPr>
              <w:jc w:val="center"/>
              <w:rPr>
                <w:rFonts w:ascii="Times New Roman" w:hAnsi="Times New Roman" w:cs="Times New Roman"/>
                <w:sz w:val="28"/>
                <w:szCs w:val="28"/>
                <w:lang w:val="it-IT"/>
              </w:rPr>
            </w:pPr>
            <w:r>
              <w:rPr>
                <w:noProof/>
              </w:rPr>
              <w:drawing>
                <wp:anchor distT="0" distB="0" distL="114300" distR="114300" simplePos="0" relativeHeight="251658240" behindDoc="0" locked="0" layoutInCell="1" allowOverlap="1" wp14:anchorId="584E6A9F" wp14:editId="535D342C">
                  <wp:simplePos x="0" y="0"/>
                  <wp:positionH relativeFrom="column">
                    <wp:posOffset>526341</wp:posOffset>
                  </wp:positionH>
                  <wp:positionV relativeFrom="paragraph">
                    <wp:posOffset>-178141</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983819">
              <w:rPr>
                <w:rFonts w:ascii="Times New Roman" w:hAnsi="Times New Roman" w:cs="Times New Roman"/>
                <w:sz w:val="28"/>
                <w:szCs w:val="28"/>
                <w:lang w:val="it-IT"/>
              </w:rPr>
              <w:t>Reprezentant</w:t>
            </w:r>
          </w:p>
        </w:tc>
      </w:tr>
      <w:tr w:rsidR="007F5B30" w14:paraId="5CF59C2E" w14:textId="77777777" w:rsidTr="00A973BF">
        <w:tc>
          <w:tcPr>
            <w:tcW w:w="2405" w:type="dxa"/>
          </w:tcPr>
          <w:p w14:paraId="2B0E823D" w14:textId="77777777" w:rsidR="007F5B30" w:rsidRDefault="007F5B30" w:rsidP="00001CA9">
            <w:pPr>
              <w:rPr>
                <w:rFonts w:ascii="Times New Roman" w:hAnsi="Times New Roman" w:cs="Times New Roman"/>
                <w:sz w:val="28"/>
                <w:szCs w:val="28"/>
                <w:lang w:val="it-IT"/>
              </w:rPr>
            </w:pPr>
          </w:p>
        </w:tc>
        <w:tc>
          <w:tcPr>
            <w:tcW w:w="3260" w:type="dxa"/>
          </w:tcPr>
          <w:p w14:paraId="66A72D82" w14:textId="77777777" w:rsidR="007F5B30" w:rsidRDefault="007F5B30" w:rsidP="00001CA9">
            <w:pPr>
              <w:rPr>
                <w:rFonts w:ascii="Times New Roman" w:hAnsi="Times New Roman" w:cs="Times New Roman"/>
                <w:sz w:val="28"/>
                <w:szCs w:val="28"/>
                <w:lang w:val="it-IT"/>
              </w:rPr>
            </w:pPr>
          </w:p>
        </w:tc>
        <w:tc>
          <w:tcPr>
            <w:tcW w:w="3397" w:type="dxa"/>
          </w:tcPr>
          <w:p w14:paraId="3689BBC7" w14:textId="77777777" w:rsidR="007F5B30" w:rsidRDefault="00000A47" w:rsidP="007F5B30">
            <w:pPr>
              <w:jc w:val="center"/>
              <w:rPr>
                <w:rFonts w:ascii="Times New Roman" w:hAnsi="Times New Roman" w:cs="Times New Roman"/>
                <w:sz w:val="28"/>
                <w:szCs w:val="28"/>
                <w:lang w:val="it-IT"/>
              </w:rPr>
            </w:pPr>
            <w:r>
              <w:rPr>
                <w:rFonts w:ascii="Times New Roman" w:hAnsi="Times New Roman" w:cs="Times New Roman"/>
                <w:sz w:val="28"/>
                <w:szCs w:val="28"/>
                <w:lang w:val="it-IT"/>
              </w:rPr>
              <w:t>{{</w:t>
            </w:r>
            <w:r w:rsidR="003A6293">
              <w:rPr>
                <w:rFonts w:ascii="Times New Roman" w:hAnsi="Times New Roman" w:cs="Times New Roman"/>
                <w:sz w:val="28"/>
                <w:szCs w:val="28"/>
                <w:lang w:val="it-IT"/>
              </w:rPr>
              <w:t>reprezentant</w:t>
            </w:r>
            <w:r w:rsidR="003C575F">
              <w:rPr>
                <w:rFonts w:ascii="Times New Roman" w:hAnsi="Times New Roman" w:cs="Times New Roman"/>
                <w:sz w:val="28"/>
                <w:szCs w:val="28"/>
                <w:lang w:val="it-IT"/>
              </w:rPr>
              <w:t>_firma</w:t>
            </w:r>
            <w:r>
              <w:rPr>
                <w:rFonts w:ascii="Times New Roman" w:hAnsi="Times New Roman" w:cs="Times New Roman"/>
                <w:sz w:val="28"/>
                <w:szCs w:val="28"/>
                <w:lang w:val="it-IT"/>
              </w:rPr>
              <w:t>}}</w:t>
            </w:r>
          </w:p>
        </w:tc>
      </w:tr>
    </w:tbl>
    <w:p w14:paraId="55757736" w14:textId="77777777" w:rsidR="00705E55" w:rsidRPr="003A6293" w:rsidRDefault="00705E55" w:rsidP="00D46199">
      <w:pPr>
        <w:jc w:val="both"/>
        <w:rPr>
          <w:rFonts w:ascii="Times New Roman" w:hAnsi="Times New Roman" w:cs="Times New Roman"/>
          <w:sz w:val="28"/>
          <w:szCs w:val="28"/>
          <w:lang w:val="en-US"/>
        </w:rPr>
      </w:pPr>
    </w:p>
    <w:sectPr w:rsidR="00705E55" w:rsidRPr="003A6293" w:rsidSect="008744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DA352" w14:textId="77777777" w:rsidR="003A6293" w:rsidRDefault="003A6293" w:rsidP="003A6293">
      <w:pPr>
        <w:spacing w:after="0" w:line="240" w:lineRule="auto"/>
      </w:pPr>
      <w:r>
        <w:separator/>
      </w:r>
    </w:p>
  </w:endnote>
  <w:endnote w:type="continuationSeparator" w:id="0">
    <w:p w14:paraId="411E82FF" w14:textId="77777777" w:rsidR="003A6293" w:rsidRDefault="003A6293" w:rsidP="003A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Swis721 BlkOul BT">
    <w:altName w:val="Calibri"/>
    <w:panose1 w:val="04020905030B03040203"/>
    <w:charset w:val="00"/>
    <w:family w:val="decorative"/>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0DA1E" w14:textId="77777777" w:rsidR="003A6293" w:rsidRDefault="003A6293" w:rsidP="003A6293">
      <w:pPr>
        <w:spacing w:after="0" w:line="240" w:lineRule="auto"/>
      </w:pPr>
      <w:r>
        <w:separator/>
      </w:r>
    </w:p>
  </w:footnote>
  <w:footnote w:type="continuationSeparator" w:id="0">
    <w:p w14:paraId="722272EE" w14:textId="77777777" w:rsidR="003A6293" w:rsidRDefault="003A6293" w:rsidP="003A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4536"/>
    </w:tblGrid>
    <w:tr w:rsidR="003A6293" w:rsidRPr="0011043C" w14:paraId="3BC53D70" w14:textId="77777777" w:rsidTr="00DF77E0">
      <w:trPr>
        <w:trHeight w:val="927"/>
        <w:jc w:val="center"/>
      </w:trPr>
      <w:tc>
        <w:tcPr>
          <w:tcW w:w="6238" w:type="dxa"/>
          <w:tcBorders>
            <w:top w:val="dashDotStroked" w:sz="24" w:space="0" w:color="1F3864"/>
            <w:left w:val="dashDotStroked" w:sz="24" w:space="0" w:color="1F3864"/>
            <w:bottom w:val="dashDotStroked" w:sz="24" w:space="0" w:color="1F3864"/>
          </w:tcBorders>
        </w:tcPr>
        <w:p w14:paraId="36199A92" w14:textId="77777777" w:rsidR="003A6293" w:rsidRPr="0011043C" w:rsidRDefault="003A6293" w:rsidP="003A6293">
          <w:pPr>
            <w:suppressAutoHyphens/>
            <w:spacing w:after="0" w:line="240" w:lineRule="auto"/>
            <w:jc w:val="center"/>
            <w:rPr>
              <w:rFonts w:ascii="Times New Roman" w:eastAsia="Times New Roman" w:hAnsi="Times New Roman" w:cs="Times New Roman"/>
              <w:sz w:val="40"/>
              <w:szCs w:val="40"/>
              <w:lang w:val="en-US" w:eastAsia="ar-SA"/>
            </w:rPr>
          </w:pPr>
          <w:r w:rsidRPr="0011043C">
            <w:rPr>
              <w:rFonts w:ascii="Swis721 BlkOul BT" w:eastAsia="Times New Roman" w:hAnsi="Swis721 BlkOul BT" w:cs="Swis721 BlkOul BT"/>
              <w:b/>
              <w:color w:val="262626"/>
              <w:sz w:val="40"/>
              <w:szCs w:val="40"/>
              <w:lang w:val="en-US" w:eastAsia="ar-SA"/>
            </w:rPr>
            <w:t>S.C. ROGOTEHNIC S.R.L.</w:t>
          </w:r>
        </w:p>
        <w:p w14:paraId="2DB63556" w14:textId="77777777" w:rsidR="007570C1" w:rsidRDefault="003A6293" w:rsidP="003A6293">
          <w:pPr>
            <w:suppressAutoHyphens/>
            <w:spacing w:after="0" w:line="240" w:lineRule="auto"/>
            <w:jc w:val="center"/>
            <w:rPr>
              <w:rFonts w:ascii="Calibri" w:eastAsia="Times New Roman" w:hAnsi="Calibri" w:cs="Times New Roman"/>
              <w:sz w:val="20"/>
              <w:szCs w:val="20"/>
              <w:lang w:val="es-ES_tradnl" w:eastAsia="ar-SA"/>
            </w:rPr>
          </w:pPr>
          <w:r w:rsidRPr="009413B4">
            <w:rPr>
              <w:rFonts w:ascii="Calibri" w:eastAsia="Times New Roman" w:hAnsi="Calibri" w:cs="Times New Roman"/>
              <w:sz w:val="20"/>
              <w:szCs w:val="20"/>
              <w:lang w:val="es-ES_tradnl" w:eastAsia="ar-SA"/>
            </w:rPr>
            <w:t xml:space="preserve">Mun. Iași, </w:t>
          </w:r>
          <w:r w:rsidR="007570C1" w:rsidRPr="007570C1">
            <w:rPr>
              <w:rFonts w:ascii="Calibri" w:eastAsia="Times New Roman" w:hAnsi="Calibri" w:cs="Times New Roman"/>
              <w:sz w:val="20"/>
              <w:szCs w:val="20"/>
              <w:lang w:val="es-ES_tradnl" w:eastAsia="ar-SA"/>
            </w:rPr>
            <w:t>Calea Chișinăului nr. 132</w:t>
          </w:r>
          <w:r w:rsidRPr="009413B4">
            <w:rPr>
              <w:rFonts w:ascii="Calibri" w:eastAsia="Times New Roman" w:hAnsi="Calibri" w:cs="Times New Roman"/>
              <w:sz w:val="20"/>
              <w:szCs w:val="20"/>
              <w:lang w:val="es-ES_tradnl" w:eastAsia="ar-SA"/>
            </w:rPr>
            <w:t>, Jud. Iași</w:t>
          </w:r>
          <w:r>
            <w:rPr>
              <w:rFonts w:ascii="Calibri" w:eastAsia="Times New Roman" w:hAnsi="Calibri" w:cs="Times New Roman"/>
              <w:sz w:val="20"/>
              <w:szCs w:val="20"/>
              <w:lang w:val="es-ES_tradnl" w:eastAsia="ar-SA"/>
            </w:rPr>
            <w:t xml:space="preserve"> </w:t>
          </w:r>
        </w:p>
        <w:p w14:paraId="0F4BA577" w14:textId="3B7C6186" w:rsidR="003A6293" w:rsidRPr="0011043C" w:rsidRDefault="003A6293" w:rsidP="003A6293">
          <w:pPr>
            <w:suppressAutoHyphens/>
            <w:spacing w:after="0" w:line="240" w:lineRule="auto"/>
            <w:jc w:val="center"/>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eastAsia="ar-SA"/>
            </w:rPr>
            <w:t>Cont nr. RO85INGB0000999906911989 - ING BANK</w:t>
          </w:r>
        </w:p>
      </w:tc>
      <w:tc>
        <w:tcPr>
          <w:tcW w:w="4536" w:type="dxa"/>
          <w:tcBorders>
            <w:top w:val="dashDotStroked" w:sz="24" w:space="0" w:color="1F3864"/>
            <w:bottom w:val="dashDotStroked" w:sz="24" w:space="0" w:color="1F3864"/>
            <w:right w:val="dashDotStroked" w:sz="24" w:space="0" w:color="1F3864"/>
          </w:tcBorders>
        </w:tcPr>
        <w:p w14:paraId="64177236" w14:textId="77777777" w:rsidR="003A6293" w:rsidRPr="00103321" w:rsidRDefault="003A6293" w:rsidP="003A6293">
          <w:pPr>
            <w:suppressAutoHyphens/>
            <w:spacing w:after="0" w:line="240" w:lineRule="auto"/>
            <w:rPr>
              <w:rFonts w:ascii="Calibri" w:eastAsia="Times New Roman" w:hAnsi="Calibri" w:cs="Arial Narrow"/>
              <w:i/>
              <w:color w:val="262626"/>
              <w:sz w:val="20"/>
              <w:szCs w:val="20"/>
              <w:lang w:val="it-IT" w:eastAsia="ar-SA"/>
            </w:rPr>
          </w:pPr>
          <w:r w:rsidRPr="00103321">
            <w:rPr>
              <w:rFonts w:ascii="Calibri" w:eastAsia="Times New Roman" w:hAnsi="Calibri" w:cs="Arial Narrow"/>
              <w:i/>
              <w:color w:val="262626"/>
              <w:sz w:val="20"/>
              <w:szCs w:val="20"/>
              <w:lang w:val="it-IT" w:eastAsia="ar-SA"/>
            </w:rPr>
            <w:t xml:space="preserve">O.R.C.:  </w:t>
          </w:r>
          <w:r w:rsidRPr="00CF7595">
            <w:rPr>
              <w:rFonts w:ascii="Calibri" w:eastAsia="Times New Roman" w:hAnsi="Calibri" w:cs="Arial Narrow"/>
              <w:i/>
              <w:color w:val="262626"/>
              <w:sz w:val="20"/>
              <w:szCs w:val="20"/>
              <w:lang w:val="it-IT" w:eastAsia="ar-SA"/>
            </w:rPr>
            <w:t>J2017001529225</w:t>
          </w:r>
          <w:r w:rsidRPr="0011043C">
            <w:rPr>
              <w:rFonts w:ascii="Calibri" w:eastAsia="Times New Roman" w:hAnsi="Calibri" w:cs="Arial Narrow"/>
              <w:i/>
              <w:color w:val="262626"/>
              <w:sz w:val="20"/>
              <w:szCs w:val="20"/>
              <w:lang w:val="it-IT" w:eastAsia="ar-SA"/>
            </w:rPr>
            <w:t xml:space="preserve">, </w:t>
          </w:r>
          <w:r w:rsidRPr="00103321">
            <w:rPr>
              <w:rFonts w:ascii="Calibri" w:eastAsia="Times New Roman" w:hAnsi="Calibri" w:cs="Arial Narrow"/>
              <w:i/>
              <w:color w:val="262626"/>
              <w:sz w:val="20"/>
              <w:szCs w:val="20"/>
              <w:lang w:val="it-IT" w:eastAsia="ar-SA"/>
            </w:rPr>
            <w:t>CUI: 37659257</w:t>
          </w:r>
        </w:p>
        <w:p w14:paraId="7285735B" w14:textId="77777777" w:rsidR="003A6293" w:rsidRPr="00103321" w:rsidRDefault="003A6293" w:rsidP="003A6293">
          <w:pPr>
            <w:suppressAutoHyphens/>
            <w:spacing w:after="0" w:line="240" w:lineRule="auto"/>
            <w:rPr>
              <w:rFonts w:ascii="Calibri" w:eastAsia="Times New Roman" w:hAnsi="Calibri" w:cs="Times New Roman"/>
              <w:sz w:val="20"/>
              <w:szCs w:val="20"/>
              <w:lang w:val="it-IT" w:eastAsia="ar-SA"/>
            </w:rPr>
          </w:pPr>
          <w:hyperlink r:id="rId1" w:history="1">
            <w:r w:rsidRPr="00103321">
              <w:rPr>
                <w:rFonts w:ascii="Calibri" w:eastAsia="Times New Roman" w:hAnsi="Calibri" w:cs="Times New Roman"/>
                <w:color w:val="0000FF"/>
                <w:sz w:val="20"/>
                <w:szCs w:val="20"/>
                <w:u w:val="single"/>
                <w:lang w:val="it-IT" w:eastAsia="ar-SA"/>
              </w:rPr>
              <w:t>rogotehnic@gmail.com</w:t>
            </w:r>
          </w:hyperlink>
          <w:r w:rsidRPr="00103321">
            <w:rPr>
              <w:rFonts w:ascii="Calibri" w:eastAsia="Times New Roman" w:hAnsi="Calibri" w:cs="Times New Roman"/>
              <w:sz w:val="20"/>
              <w:szCs w:val="20"/>
              <w:lang w:val="it-IT" w:eastAsia="ar-SA"/>
            </w:rPr>
            <w:t>, 0752099173</w:t>
          </w:r>
        </w:p>
        <w:p w14:paraId="04A75FED" w14:textId="77777777" w:rsidR="003A6293" w:rsidRPr="0011043C" w:rsidRDefault="003A6293" w:rsidP="003A6293">
          <w:pPr>
            <w:suppressAutoHyphens/>
            <w:spacing w:after="0" w:line="240" w:lineRule="auto"/>
            <w:rPr>
              <w:rFonts w:ascii="Calibri" w:eastAsia="Times New Roman" w:hAnsi="Calibri" w:cs="Times New Roman"/>
              <w:sz w:val="20"/>
              <w:szCs w:val="20"/>
              <w:lang w:val="en-US" w:eastAsia="ar-SA"/>
            </w:rPr>
          </w:pPr>
          <w:r w:rsidRPr="0011043C">
            <w:rPr>
              <w:rFonts w:ascii="Calibri" w:eastAsia="Times New Roman" w:hAnsi="Calibri" w:cs="Times New Roman"/>
              <w:sz w:val="20"/>
              <w:szCs w:val="20"/>
              <w:lang w:val="en-US" w:eastAsia="ar-SA"/>
            </w:rPr>
            <w:t>ISO 9001:2015, ISO 14001:2015, OHSAS 18001:2007</w:t>
          </w:r>
        </w:p>
        <w:p w14:paraId="2417AFF0" w14:textId="77777777" w:rsidR="003A6293" w:rsidRPr="0011043C" w:rsidRDefault="003A6293" w:rsidP="003A6293">
          <w:pPr>
            <w:suppressAutoHyphens/>
            <w:spacing w:after="0" w:line="240" w:lineRule="auto"/>
            <w:rPr>
              <w:rFonts w:ascii="Times New Roman" w:eastAsia="Times New Roman" w:hAnsi="Times New Roman" w:cs="Times New Roman"/>
              <w:sz w:val="20"/>
              <w:szCs w:val="20"/>
              <w:lang w:val="en-US" w:eastAsia="ar-SA"/>
            </w:rPr>
          </w:pPr>
          <w:r w:rsidRPr="0011043C">
            <w:rPr>
              <w:rFonts w:ascii="Calibri" w:eastAsia="Times New Roman" w:hAnsi="Calibri" w:cs="Times New Roman"/>
              <w:sz w:val="20"/>
              <w:szCs w:val="20"/>
              <w:lang w:val="en-US" w:eastAsia="ar-SA"/>
            </w:rPr>
            <w:t xml:space="preserve">Atestat ANRE </w:t>
          </w:r>
          <w:r>
            <w:rPr>
              <w:rFonts w:ascii="Calibri" w:eastAsia="Times New Roman" w:hAnsi="Calibri" w:cs="Times New Roman"/>
              <w:sz w:val="20"/>
              <w:szCs w:val="20"/>
              <w:lang w:val="en-US" w:eastAsia="ar-SA"/>
            </w:rPr>
            <w:t>D1, D2, E1, E2</w:t>
          </w:r>
        </w:p>
      </w:tc>
    </w:tr>
  </w:tbl>
  <w:p w14:paraId="18D2D4D2" w14:textId="77777777" w:rsidR="003A6293" w:rsidRDefault="003A6293" w:rsidP="003A6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0A47"/>
    <w:rsid w:val="00001CA9"/>
    <w:rsid w:val="000D7293"/>
    <w:rsid w:val="001733D7"/>
    <w:rsid w:val="002474A8"/>
    <w:rsid w:val="003A6293"/>
    <w:rsid w:val="003C575F"/>
    <w:rsid w:val="004213F1"/>
    <w:rsid w:val="00454E43"/>
    <w:rsid w:val="005200C9"/>
    <w:rsid w:val="00583D3D"/>
    <w:rsid w:val="005D75C8"/>
    <w:rsid w:val="00642366"/>
    <w:rsid w:val="00645DA5"/>
    <w:rsid w:val="006A5530"/>
    <w:rsid w:val="006C12BB"/>
    <w:rsid w:val="00705E55"/>
    <w:rsid w:val="007135A9"/>
    <w:rsid w:val="007570C1"/>
    <w:rsid w:val="00773B54"/>
    <w:rsid w:val="007B6E2E"/>
    <w:rsid w:val="007F5B30"/>
    <w:rsid w:val="00834D12"/>
    <w:rsid w:val="00874487"/>
    <w:rsid w:val="00903F38"/>
    <w:rsid w:val="009108C2"/>
    <w:rsid w:val="009213D1"/>
    <w:rsid w:val="00925349"/>
    <w:rsid w:val="009413B4"/>
    <w:rsid w:val="00983819"/>
    <w:rsid w:val="00A973BF"/>
    <w:rsid w:val="00BC4AEE"/>
    <w:rsid w:val="00CC6174"/>
    <w:rsid w:val="00CF7595"/>
    <w:rsid w:val="00D248CC"/>
    <w:rsid w:val="00D46199"/>
    <w:rsid w:val="00E3136F"/>
    <w:rsid w:val="00E367D7"/>
    <w:rsid w:val="00E455F5"/>
    <w:rsid w:val="00E815B9"/>
    <w:rsid w:val="00E9594A"/>
    <w:rsid w:val="00EB4656"/>
    <w:rsid w:val="00F14F18"/>
    <w:rsid w:val="00F424AA"/>
    <w:rsid w:val="00F9006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AFA8A"/>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293"/>
  </w:style>
  <w:style w:type="paragraph" w:styleId="Footer">
    <w:name w:val="footer"/>
    <w:basedOn w:val="Normal"/>
    <w:link w:val="FooterChar"/>
    <w:uiPriority w:val="99"/>
    <w:unhideWhenUsed/>
    <w:rsid w:val="003A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ogotehnic@gmail.com"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ROGO TEHNIC</cp:lastModifiedBy>
  <cp:revision>31</cp:revision>
  <cp:lastPrinted>2024-03-21T12:27:00Z</cp:lastPrinted>
  <dcterms:created xsi:type="dcterms:W3CDTF">2017-10-26T05:51:00Z</dcterms:created>
  <dcterms:modified xsi:type="dcterms:W3CDTF">2025-09-12T12:02:00Z</dcterms:modified>
  <dc:identifier/>
  <dc:language/>
</cp:coreProperties>
</file>