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E93D" w14:textId="77777777" w:rsidR="00AD1DBA" w:rsidRDefault="00000000">
      <w:pPr>
        <w:pStyle w:val="Ttulo1"/>
      </w:pPr>
      <w:r>
        <w:t>PBQE-C — Módulo de Autenticação &amp; Segurança</w:t>
      </w:r>
    </w:p>
    <w:p w14:paraId="62B5C0BE" w14:textId="77777777" w:rsidR="00AD1DBA" w:rsidRDefault="00000000">
      <w:pPr>
        <w:pStyle w:val="Ttulo2"/>
      </w:pPr>
      <w:r>
        <w:t>1. Propósito do Módulo</w:t>
      </w:r>
    </w:p>
    <w:p w14:paraId="71B03554" w14:textId="77777777" w:rsidR="00AD1DBA" w:rsidRDefault="00000000">
      <w:r>
        <w:t>Este módulo é responsável por garantir autenticação, autorização e controle de acesso em todo o ecossistema Petropolitan. Seu foco é segurança estrutural, previsibilidade e controle explícito de fluxo.</w:t>
      </w:r>
      <w:r>
        <w:br/>
      </w:r>
      <w:r>
        <w:br/>
        <w:t>Ele NÃO tem como objetivo ser genérico, flexível demais ou opinativo por conveniência. Cada decisão aqui prioriza segurança, clareza e rastreabilidade.</w:t>
      </w:r>
      <w:r>
        <w:br/>
      </w:r>
      <w:r>
        <w:br/>
        <w:t>O módulo garante:</w:t>
      </w:r>
      <w:r>
        <w:br/>
        <w:t>- Identificação segura de usuários</w:t>
      </w:r>
      <w:r>
        <w:br/>
        <w:t>- Associação explícita de papéis (roles)</w:t>
      </w:r>
      <w:r>
        <w:br/>
        <w:t>- Validação de status e estado do usuário</w:t>
      </w:r>
      <w:r>
        <w:br/>
        <w:t>- Emissão e validação de tokens</w:t>
      </w:r>
      <w:r>
        <w:br/>
      </w:r>
      <w:r>
        <w:br/>
        <w:t>O módulo NÃO faz:</w:t>
      </w:r>
      <w:r>
        <w:br/>
        <w:t>- Autorização implícita</w:t>
      </w:r>
      <w:r>
        <w:br/>
        <w:t>- Escalada automática de privilégios</w:t>
      </w:r>
      <w:r>
        <w:br/>
        <w:t>- Decisões mágicas baseadas em contexto não declarado</w:t>
      </w:r>
    </w:p>
    <w:p w14:paraId="0FFABE78" w14:textId="77777777" w:rsidR="00AD1DBA" w:rsidRDefault="00000000">
      <w:pPr>
        <w:pStyle w:val="Ttulo2"/>
      </w:pPr>
      <w:r>
        <w:t>2. Decisões Arquiteturais</w:t>
      </w:r>
    </w:p>
    <w:p w14:paraId="2169CB40" w14:textId="77777777" w:rsidR="00AD1DBA" w:rsidRDefault="00000000">
      <w:r>
        <w:t>UUID como identificador primário:</w:t>
      </w:r>
      <w:r>
        <w:br/>
        <w:t>Todo o core do sistema utiliza UUID como chave primária. Essa decisão elimina dependência de sequência, evita previsibilidade e permite futura distribuição do sistema sem colisão de IDs.</w:t>
      </w:r>
      <w:r>
        <w:br/>
      </w:r>
      <w:r>
        <w:br/>
        <w:t>Padrão Singleton:</w:t>
      </w:r>
      <w:r>
        <w:br/>
        <w:t>O backend adota o padrão Singleton para instâncias centrais como conexão com banco, configurações de aplicação e serviços críticos. Isso evita múltiplas instâncias concorrentes, comportamentos inconsistentes e erros difíceis de rastrear em ambientes Node.js.</w:t>
      </w:r>
      <w:r>
        <w:br/>
      </w:r>
      <w:r>
        <w:br/>
        <w:t>Banco de dados segue o código:</w:t>
      </w:r>
      <w:r>
        <w:br/>
        <w:t>Não são utilizados migrations automáticos. O esquema do banco é gerado a partir de JSONs versionados e executados por um executor próprio. Isso garante previsibilidade total e evita alterações implícitas.</w:t>
      </w:r>
      <w:r>
        <w:br/>
      </w:r>
      <w:r>
        <w:br/>
        <w:t>Nenhuma gambiarra tolerada:</w:t>
      </w:r>
      <w:r>
        <w:br/>
        <w:t>Problemas estruturais são resolvidos no momento em que aparecem. Nada é empurrado para depois.</w:t>
      </w:r>
    </w:p>
    <w:p w14:paraId="72A71EED" w14:textId="77777777" w:rsidR="00AD1DBA" w:rsidRDefault="00000000">
      <w:pPr>
        <w:pStyle w:val="Ttulo2"/>
      </w:pPr>
      <w:r>
        <w:t>3. Dependências Utilizadas (e Justificativas)</w:t>
      </w:r>
    </w:p>
    <w:p w14:paraId="105A71A5" w14:textId="77777777" w:rsidR="00AD1DBA" w:rsidRDefault="00000000">
      <w:r>
        <w:t>argon2:</w:t>
      </w:r>
      <w:r>
        <w:br/>
        <w:t>- Algoritmo de hash resistente a GPU e ASIC</w:t>
      </w:r>
      <w:r>
        <w:br/>
        <w:t>- Controle explícito de custo de memória</w:t>
      </w:r>
      <w:r>
        <w:br/>
        <w:t>- Recomendado atualmente para armazenamento de senhas</w:t>
      </w:r>
      <w:r>
        <w:br/>
      </w:r>
      <w:r>
        <w:br/>
        <w:t>jsonwebtoken:</w:t>
      </w:r>
      <w:r>
        <w:br/>
        <w:t>- Padrão amplamente adotado</w:t>
      </w:r>
      <w:r>
        <w:br/>
        <w:t>- Interoperável entre serviços</w:t>
      </w:r>
      <w:r>
        <w:br/>
        <w:t>- Fácil auditoria de payload</w:t>
      </w:r>
      <w:r>
        <w:br/>
      </w:r>
      <w:r>
        <w:br/>
        <w:t>sequelize:</w:t>
      </w:r>
      <w:r>
        <w:br/>
        <w:t>- Abstração de acesso a dados sem perder controle do SQL</w:t>
      </w:r>
      <w:r>
        <w:br/>
        <w:t>- Suporte a UUID e relacionamentos explícitos</w:t>
      </w:r>
      <w:r>
        <w:br/>
      </w:r>
      <w:r>
        <w:br/>
        <w:t>pg:</w:t>
      </w:r>
      <w:r>
        <w:br/>
        <w:t>- Driver PostgreSQL direto</w:t>
      </w:r>
      <w:r>
        <w:br/>
        <w:t>- Previsibilidade e estabilidade</w:t>
      </w:r>
      <w:r>
        <w:br/>
      </w:r>
      <w:r>
        <w:br/>
        <w:t>express:</w:t>
      </w:r>
      <w:r>
        <w:br/>
        <w:t>- Middleware explícito</w:t>
      </w:r>
      <w:r>
        <w:br/>
        <w:t>- Controle total do fluxo de requisições</w:t>
      </w:r>
      <w:r>
        <w:br/>
      </w:r>
      <w:r>
        <w:br/>
        <w:t>cors:</w:t>
      </w:r>
      <w:r>
        <w:br/>
        <w:t>- Controle explícito de origens permitidas</w:t>
      </w:r>
      <w:r>
        <w:br/>
        <w:t>- Evita exposição acidental da API</w:t>
      </w:r>
      <w:r>
        <w:br/>
        <w:t>- Camada obrigatória em ambientes com frontend separado</w:t>
      </w:r>
      <w:r>
        <w:br/>
      </w:r>
    </w:p>
    <w:sectPr w:rsidR="00AD1D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091196">
    <w:abstractNumId w:val="8"/>
  </w:num>
  <w:num w:numId="2" w16cid:durableId="943536255">
    <w:abstractNumId w:val="6"/>
  </w:num>
  <w:num w:numId="3" w16cid:durableId="1524515445">
    <w:abstractNumId w:val="5"/>
  </w:num>
  <w:num w:numId="4" w16cid:durableId="221647879">
    <w:abstractNumId w:val="4"/>
  </w:num>
  <w:num w:numId="5" w16cid:durableId="1432044887">
    <w:abstractNumId w:val="7"/>
  </w:num>
  <w:num w:numId="6" w16cid:durableId="1176119099">
    <w:abstractNumId w:val="3"/>
  </w:num>
  <w:num w:numId="7" w16cid:durableId="1844274926">
    <w:abstractNumId w:val="2"/>
  </w:num>
  <w:num w:numId="8" w16cid:durableId="354313334">
    <w:abstractNumId w:val="1"/>
  </w:num>
  <w:num w:numId="9" w16cid:durableId="154968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6DB"/>
    <w:rsid w:val="00A35BFD"/>
    <w:rsid w:val="00AA1D8D"/>
    <w:rsid w:val="00AD1DB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E8D501"/>
  <w14:defaultImageDpi w14:val="300"/>
  <w15:docId w15:val="{0143A8AB-5DD9-46EA-A0B9-D69F58B9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1963</Characters>
  <Application>Microsoft Office Word</Application>
  <DocSecurity>0</DocSecurity>
  <Lines>67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2025-12-12T19:06:00Z</dcterms:created>
  <dcterms:modified xsi:type="dcterms:W3CDTF">2025-12-12T19:06:00Z</dcterms:modified>
  <cp:category/>
</cp:coreProperties>
</file>