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2A44"/>
          <w:sz w:val="68"/>
        </w:rPr>
        <w:t>Orange in Chemistry</w:t>
      </w:r>
    </w:p>
    <w:p>
      <w:pPr>
        <w:jc w:val="center"/>
      </w:pPr>
      <w:r>
        <w:rPr>
          <w:rFonts w:ascii="Aptos Display" w:hAnsi="Aptos Display"/>
          <w:b/>
          <w:color w:val="1F7A8C"/>
          <w:sz w:val="44"/>
        </w:rPr>
        <w:t>Exercise and Implementation Companion</w:t>
      </w:r>
    </w:p>
    <w:p>
      <w:pPr>
        <w:jc w:val="center"/>
      </w:pPr>
      <w:r>
        <w:rPr>
          <w:color w:val="4E5D6C"/>
          <w:sz w:val="22"/>
        </w:rPr>
        <w:t>Complete classroom exercises, teacher implementation notes, workflows, assessment evidence, and practical delivery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F7A8C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  <w:br/>
            </w:r>
            <w:r>
              <w:rPr>
                <w:color w:val="FFFFFF"/>
                <w:sz w:val="17"/>
              </w:rPr>
              <w:t>Teaching modules</w:t>
            </w:r>
          </w:p>
        </w:tc>
        <w:tc>
          <w:tcPr>
            <w:tcW w:type="dxa" w:w="2613"/>
            <w:shd w:fill="F28C28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72</w:t>
              <w:br/>
            </w:r>
            <w:r>
              <w:rPr>
                <w:color w:val="FFFFFF"/>
                <w:sz w:val="17"/>
              </w:rPr>
              <w:t>Exercise cards</w:t>
            </w:r>
          </w:p>
        </w:tc>
        <w:tc>
          <w:tcPr>
            <w:tcW w:type="dxa" w:w="2613"/>
            <w:shd w:fill="2E7D32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  <w:br/>
            </w:r>
            <w:r>
              <w:rPr>
                <w:color w:val="FFFFFF"/>
                <w:sz w:val="17"/>
              </w:rPr>
              <w:t>Delivery modes</w:t>
            </w:r>
          </w:p>
        </w:tc>
        <w:tc>
          <w:tcPr>
            <w:tcW w:type="dxa" w:w="2613"/>
            <w:shd w:fill="1F2A44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  <w:br/>
            </w:r>
            <w:r>
              <w:rPr>
                <w:color w:val="FFFFFF"/>
                <w:sz w:val="17"/>
              </w:rPr>
              <w:t>Reproducible workflow culture</w:t>
            </w:r>
          </w:p>
        </w:tc>
      </w:tr>
      <w:tr>
        <w:tc>
          <w:tcPr>
            <w:tcW w:type="dxa" w:w="2613"/>
            <w:shd w:fill="1F7A8C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Orange</w:t>
              <w:br/>
            </w:r>
            <w:r>
              <w:rPr>
                <w:color w:val="FFFFFF"/>
                <w:sz w:val="17"/>
              </w:rPr>
              <w:t>Visual analytics</w:t>
            </w:r>
          </w:p>
        </w:tc>
        <w:tc>
          <w:tcPr>
            <w:tcW w:type="dxa" w:w="2613"/>
            <w:shd w:fill="F28C28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RDKit</w:t>
              <w:br/>
            </w:r>
            <w:r>
              <w:rPr>
                <w:color w:val="FFFFFF"/>
                <w:sz w:val="17"/>
              </w:rPr>
              <w:t>Cheminformatics engine</w:t>
            </w:r>
          </w:p>
        </w:tc>
        <w:tc>
          <w:tcPr>
            <w:tcW w:type="dxa" w:w="2613"/>
            <w:shd w:fill="2E7D32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QSAR</w:t>
              <w:br/>
            </w:r>
            <w:r>
              <w:rPr>
                <w:color w:val="FFFFFF"/>
                <w:sz w:val="17"/>
              </w:rPr>
              <w:t>Models + interpretation</w:t>
            </w:r>
          </w:p>
        </w:tc>
        <w:tc>
          <w:tcPr>
            <w:tcW w:type="dxa" w:w="2613"/>
            <w:shd w:fill="1F2A44"/>
            <w:vAlign w:val="center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FAIR</w:t>
              <w:br/>
            </w:r>
            <w:r>
              <w:rPr>
                <w:color w:val="FFFFFF"/>
                <w:sz w:val="17"/>
              </w:rPr>
              <w:t>Provenance + reports</w:t>
            </w:r>
          </w:p>
        </w:tc>
      </w:tr>
    </w:tbl>
    <w:p>
      <w:r>
        <w:br w:type="page"/>
      </w:r>
    </w:p>
    <w:p>
      <w:pPr>
        <w:pStyle w:val="Heading1"/>
      </w:pPr>
      <w:r>
        <w:t>1. Implementation Model</w:t>
      </w:r>
    </w:p>
    <w:p>
      <w:r>
        <w:t>Use this companion as a practical delivery manual. Each exercise can be run as a short guided lab, a homework task, or a project milestone. The recommended classroom rhythm is: predict, run, inspect, explain,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1F2A44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091"/>
            <w:shd w:fill="1F2A44"/>
          </w:tcPr>
          <w:p>
            <w:pPr>
              <w:jc w:val="center"/>
            </w:pPr>
            <w:r>
              <w:rPr>
                <w:b/>
                <w:color w:val="FFFFFF"/>
              </w:rPr>
              <w:t>Teacher action</w:t>
            </w:r>
          </w:p>
        </w:tc>
        <w:tc>
          <w:tcPr>
            <w:tcW w:type="dxa" w:w="2091"/>
            <w:shd w:fill="1F2A44"/>
          </w:tcPr>
          <w:p>
            <w:pPr>
              <w:jc w:val="center"/>
            </w:pPr>
            <w:r>
              <w:rPr>
                <w:b/>
                <w:color w:val="FFFFFF"/>
              </w:rPr>
              <w:t>Student action</w:t>
            </w:r>
          </w:p>
        </w:tc>
        <w:tc>
          <w:tcPr>
            <w:tcW w:type="dxa" w:w="2091"/>
            <w:shd w:fill="1F2A44"/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91"/>
            <w:shd w:fill="1F2A44"/>
          </w:tcPr>
          <w:p>
            <w:pPr>
              <w:jc w:val="center"/>
            </w:pPr>
            <w:r>
              <w:rPr>
                <w:b/>
                <w:color w:val="FFFFFF"/>
              </w:rPr>
              <w:t>Typical time</w:t>
            </w:r>
          </w:p>
        </w:tc>
      </w:tr>
      <w:tr>
        <w:tc>
          <w:tcPr>
            <w:tcW w:type="dxa" w:w="2091"/>
          </w:tcPr>
          <w:p>
            <w:r>
              <w:t>Prepare</w:t>
            </w:r>
          </w:p>
        </w:tc>
        <w:tc>
          <w:tcPr>
            <w:tcW w:type="dxa" w:w="2091"/>
          </w:tcPr>
          <w:p>
            <w:r>
              <w:t>Install package, test widget, open data file.</w:t>
            </w:r>
          </w:p>
        </w:tc>
        <w:tc>
          <w:tcPr>
            <w:tcW w:type="dxa" w:w="2091"/>
          </w:tcPr>
          <w:p>
            <w:r>
              <w:t>Read the prompt and predict expected chemical behaviour.</w:t>
            </w:r>
          </w:p>
        </w:tc>
        <w:tc>
          <w:tcPr>
            <w:tcW w:type="dxa" w:w="2091"/>
          </w:tcPr>
          <w:p>
            <w:r>
              <w:t>Ready workflow and notes.</w:t>
            </w:r>
          </w:p>
        </w:tc>
        <w:tc>
          <w:tcPr>
            <w:tcW w:type="dxa" w:w="2091"/>
          </w:tcPr>
          <w:p>
            <w:r>
              <w:t>5-10 min</w:t>
            </w:r>
          </w:p>
        </w:tc>
      </w:tr>
      <w:tr>
        <w:tc>
          <w:tcPr>
            <w:tcW w:type="dxa" w:w="2091"/>
          </w:tcPr>
          <w:p>
            <w:r>
              <w:t>Run</w:t>
            </w:r>
          </w:p>
        </w:tc>
        <w:tc>
          <w:tcPr>
            <w:tcW w:type="dxa" w:w="2091"/>
          </w:tcPr>
          <w:p>
            <w:r>
              <w:t>Demonstrate the core workflow once.</w:t>
            </w:r>
          </w:p>
        </w:tc>
        <w:tc>
          <w:tcPr>
            <w:tcW w:type="dxa" w:w="2091"/>
          </w:tcPr>
          <w:p>
            <w:r>
              <w:t>Execute workflow and check outputs.</w:t>
            </w:r>
          </w:p>
        </w:tc>
        <w:tc>
          <w:tcPr>
            <w:tcW w:type="dxa" w:w="2091"/>
          </w:tcPr>
          <w:p>
            <w:r>
              <w:t>Saved .ows and result table.</w:t>
            </w:r>
          </w:p>
        </w:tc>
        <w:tc>
          <w:tcPr>
            <w:tcW w:type="dxa" w:w="2091"/>
          </w:tcPr>
          <w:p>
            <w:r>
              <w:t>15-25 min</w:t>
            </w:r>
          </w:p>
        </w:tc>
      </w:tr>
      <w:tr>
        <w:tc>
          <w:tcPr>
            <w:tcW w:type="dxa" w:w="2091"/>
          </w:tcPr>
          <w:p>
            <w:r>
              <w:t>Interpret</w:t>
            </w:r>
          </w:p>
        </w:tc>
        <w:tc>
          <w:tcPr>
            <w:tcW w:type="dxa" w:w="2091"/>
          </w:tcPr>
          <w:p>
            <w:r>
              <w:t>Ask chemistry-first questions.</w:t>
            </w:r>
          </w:p>
        </w:tc>
        <w:tc>
          <w:tcPr>
            <w:tcW w:type="dxa" w:w="2091"/>
          </w:tcPr>
          <w:p>
            <w:r>
              <w:t>Explain features, structures, alerts, or model results.</w:t>
            </w:r>
          </w:p>
        </w:tc>
        <w:tc>
          <w:tcPr>
            <w:tcW w:type="dxa" w:w="2091"/>
          </w:tcPr>
          <w:p>
            <w:r>
              <w:t>Annotated table or paragraph.</w:t>
            </w:r>
          </w:p>
        </w:tc>
        <w:tc>
          <w:tcPr>
            <w:tcW w:type="dxa" w:w="2091"/>
          </w:tcPr>
          <w:p>
            <w:r>
              <w:t>15-30 min</w:t>
            </w:r>
          </w:p>
        </w:tc>
      </w:tr>
      <w:tr>
        <w:tc>
          <w:tcPr>
            <w:tcW w:type="dxa" w:w="2091"/>
          </w:tcPr>
          <w:p>
            <w:r>
              <w:t>Report</w:t>
            </w:r>
          </w:p>
        </w:tc>
        <w:tc>
          <w:tcPr>
            <w:tcW w:type="dxa" w:w="2091"/>
          </w:tcPr>
          <w:p>
            <w:r>
              <w:t>Require provenance and limitations.</w:t>
            </w:r>
          </w:p>
        </w:tc>
        <w:tc>
          <w:tcPr>
            <w:tcW w:type="dxa" w:w="2091"/>
          </w:tcPr>
          <w:p>
            <w:r>
              <w:t>Submit short reproducible report.</w:t>
            </w:r>
          </w:p>
        </w:tc>
        <w:tc>
          <w:tcPr>
            <w:tcW w:type="dxa" w:w="2091"/>
          </w:tcPr>
          <w:p>
            <w:r>
              <w:t>Methods + result + limitation.</w:t>
            </w:r>
          </w:p>
        </w:tc>
        <w:tc>
          <w:tcPr>
            <w:tcW w:type="dxa" w:w="2091"/>
          </w:tcPr>
          <w:p>
            <w:r>
              <w:t>15-45 min</w:t>
            </w:r>
          </w:p>
        </w:tc>
      </w:tr>
    </w:tbl>
    <w:p>
      <w:pPr>
        <w:pStyle w:val="Heading2"/>
      </w:pPr>
      <w:r>
        <w:t>Recommended delivery modes</w:t>
      </w:r>
    </w:p>
    <w:p>
      <w:r>
        <w:rPr>
          <w:b/>
          <w:color w:val="1F7A8C"/>
        </w:rPr>
        <w:t xml:space="preserve">Guided lab: </w:t>
      </w:r>
      <w:r>
        <w:t>Teacher demonstrates the first molecule or first model, then students complete the remaining tasks.</w:t>
      </w:r>
    </w:p>
    <w:p>
      <w:r>
        <w:rPr>
          <w:b/>
          <w:color w:val="1F7A8C"/>
        </w:rPr>
        <w:t xml:space="preserve">Inquiry lab: </w:t>
      </w:r>
      <w:r>
        <w:t>Students predict outcomes before running the widgets, then reconcile predictions with outputs.</w:t>
      </w:r>
    </w:p>
    <w:p>
      <w:r>
        <w:rPr>
          <w:b/>
          <w:color w:val="1F7A8C"/>
        </w:rPr>
        <w:t xml:space="preserve">Mini project: </w:t>
      </w:r>
      <w:r>
        <w:t>Students choose a small compound set, run a workflow, and submit a concise reproducible report.</w:t>
      </w:r>
    </w:p>
    <w:p>
      <w:pPr>
        <w:pStyle w:val="Heading1"/>
      </w:pPr>
      <w:r>
        <w:t>2. Assessment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F7A8C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613"/>
            <w:shd w:fill="1F7A8C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613"/>
            <w:shd w:fill="1F7A8C"/>
          </w:tcPr>
          <w:p>
            <w:r>
              <w:rPr>
                <w:b/>
                <w:color w:val="FFFFFF"/>
              </w:rPr>
              <w:t>Proficient</w:t>
            </w:r>
          </w:p>
        </w:tc>
        <w:tc>
          <w:tcPr>
            <w:tcW w:type="dxa" w:w="2613"/>
            <w:shd w:fill="1F7A8C"/>
          </w:tcPr>
          <w:p>
            <w:r>
              <w:rPr>
                <w:b/>
                <w:color w:val="FFFFFF"/>
              </w:rPr>
              <w:t>Excellent</w:t>
            </w:r>
          </w:p>
        </w:tc>
      </w:tr>
      <w:tr>
        <w:tc>
          <w:tcPr>
            <w:tcW w:type="dxa" w:w="2613"/>
          </w:tcPr>
          <w:p>
            <w:r>
              <w:t>Workflow execution</w:t>
            </w:r>
          </w:p>
        </w:tc>
        <w:tc>
          <w:tcPr>
            <w:tcW w:type="dxa" w:w="2613"/>
          </w:tcPr>
          <w:p>
            <w:r>
              <w:t>Runs with help; incomplete outputs.</w:t>
            </w:r>
          </w:p>
        </w:tc>
        <w:tc>
          <w:tcPr>
            <w:tcW w:type="dxa" w:w="2613"/>
          </w:tcPr>
          <w:p>
            <w:r>
              <w:t>Runs workflow and exports requested outputs.</w:t>
            </w:r>
          </w:p>
        </w:tc>
        <w:tc>
          <w:tcPr>
            <w:tcW w:type="dxa" w:w="2613"/>
          </w:tcPr>
          <w:p>
            <w:r>
              <w:t>Runs independently and checks edge cases.</w:t>
            </w:r>
          </w:p>
        </w:tc>
      </w:tr>
      <w:tr>
        <w:tc>
          <w:tcPr>
            <w:tcW w:type="dxa" w:w="2613"/>
          </w:tcPr>
          <w:p>
            <w:r>
              <w:t>Chemical interpretation</w:t>
            </w:r>
          </w:p>
        </w:tc>
        <w:tc>
          <w:tcPr>
            <w:tcW w:type="dxa" w:w="2613"/>
          </w:tcPr>
          <w:p>
            <w:r>
              <w:t>Names outputs but gives little chemistry.</w:t>
            </w:r>
          </w:p>
        </w:tc>
        <w:tc>
          <w:tcPr>
            <w:tcW w:type="dxa" w:w="2613"/>
          </w:tcPr>
          <w:p>
            <w:r>
              <w:t>Connects outputs to molecular features.</w:t>
            </w:r>
          </w:p>
        </w:tc>
        <w:tc>
          <w:tcPr>
            <w:tcW w:type="dxa" w:w="2613"/>
          </w:tcPr>
          <w:p>
            <w:r>
              <w:t>Explains limitations and exceptions.</w:t>
            </w:r>
          </w:p>
        </w:tc>
      </w:tr>
      <w:tr>
        <w:tc>
          <w:tcPr>
            <w:tcW w:type="dxa" w:w="2613"/>
          </w:tcPr>
          <w:p>
            <w:r>
              <w:t>Data quality</w:t>
            </w:r>
          </w:p>
        </w:tc>
        <w:tc>
          <w:tcPr>
            <w:tcW w:type="dxa" w:w="2613"/>
          </w:tcPr>
          <w:p>
            <w:r>
              <w:t>Ignores invalid or inconsistent rows.</w:t>
            </w:r>
          </w:p>
        </w:tc>
        <w:tc>
          <w:tcPr>
            <w:tcW w:type="dxa" w:w="2613"/>
          </w:tcPr>
          <w:p>
            <w:r>
              <w:t>Documents failures and preprocessing.</w:t>
            </w:r>
          </w:p>
        </w:tc>
        <w:tc>
          <w:tcPr>
            <w:tcW w:type="dxa" w:w="2613"/>
          </w:tcPr>
          <w:p>
            <w:r>
              <w:t>Proposes corrective curation strategy.</w:t>
            </w:r>
          </w:p>
        </w:tc>
      </w:tr>
      <w:tr>
        <w:tc>
          <w:tcPr>
            <w:tcW w:type="dxa" w:w="2613"/>
          </w:tcPr>
          <w:p>
            <w:r>
              <w:t>Reproducibility</w:t>
            </w:r>
          </w:p>
        </w:tc>
        <w:tc>
          <w:tcPr>
            <w:tcW w:type="dxa" w:w="2613"/>
          </w:tcPr>
          <w:p>
            <w:r>
              <w:t>Few settings recorded.</w:t>
            </w:r>
          </w:p>
        </w:tc>
        <w:tc>
          <w:tcPr>
            <w:tcW w:type="dxa" w:w="2613"/>
          </w:tcPr>
          <w:p>
            <w:r>
              <w:t>Records data, widgets, and key settings.</w:t>
            </w:r>
          </w:p>
        </w:tc>
        <w:tc>
          <w:tcPr>
            <w:tcW w:type="dxa" w:w="2613"/>
          </w:tcPr>
          <w:p>
            <w:r>
              <w:t>Includes provenance, versioning, and limitations.</w:t>
            </w:r>
          </w:p>
        </w:tc>
      </w:tr>
    </w:tbl>
    <w:p>
      <w:r>
        <w:br w:type="page"/>
      </w:r>
    </w:p>
    <w:p>
      <w:pPr>
        <w:pStyle w:val="Heading1"/>
      </w:pPr>
      <w:r>
        <w:t>Module 1. Cyclic Registry Fingerprint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Use an interpretable 4096-bit fingerprint to connect molecular structure, cyclic motifs, and machine-learning-ready representations.</w:t>
            </w:r>
          </w:p>
        </w:tc>
      </w:tr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File -&gt; Cyclic Registry Fingerprint -&gt; Data Table / Matched Registry Entries</w:t>
            </w:r>
          </w:p>
        </w:tc>
      </w:tr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examples/cyclic_registry_fingerprint/cyclic_registry_training_set.csv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1: Drug Heterocycles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Identify heterocycles in drug-like molecules and explain why matched registry entries matter.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Matched Registry Entries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a frequency table of detected heterocycle entries and annotate three molecules.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at least two detected ring systems using chemical language.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2: Aromatic vs Kekule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aromatic and kekulized encodings of the same ring families.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Matched Registry Entries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Run paired SMILES examples and compare registry matches.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recognize representation robustness and remaining edge cases.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3: Natural Products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Profile cyclic motifs in natural-product-like structures.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Group matched entries by family and discuss natural product diversity.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connect motifs to compound class.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4: QSAR/QSPR Input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the 4096-bit output as QSAR features.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Test &amp; Score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a simple model using registry-enhanced features.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separate prediction from interpretation.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5: Feature Interpretation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Relate high-ranking model features to matched registry entries.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Cyclic Registry Fingerprint -&gt; Rank + Matched Registry Entries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Find top-ranked bits and inspect which motifs trigger them.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state whether a bit is interpretable or hashed.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6: Library Comparison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motif profiles between libraries.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Matched Registry Entries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frequency profiles for two groups in the input table.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present one structural difference between libraries.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7: Docking Results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Describe motifs among top-ranked docking candidates.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Select Rows -&gt; Cyclic Registry Fingerprint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Filter top docking scores and profile cyclic motifs.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claiming causality from docking score alone.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8: Unwanted Motifs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Screen for undesirable functional or structural motifs.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Cyclic Registry Fingerprint -&gt; Matched Registry Entries -&gt; Select Rows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Filter matched entries by family/section and flag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distinguish alerting from automatic rejection.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9: SMARTS Learning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registry hits to learn SMARTS/substructure thinking.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Cyclic Registry Fingerprint -&gt; Matched Registry Entries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Predict hits before running the widget, then compare results.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false expectations constructively.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10: Method Development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validation/collision reporting to improve an interpretable fingerprint.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CLI validator + Cyclic Registry Fingerprint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Run registry validation and discuss collisions.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propose one improvement to registry metadata.</w:t>
      </w:r>
    </w:p>
    <w:p>
      <w:r>
        <w:br w:type="page"/>
      </w:r>
    </w:p>
    <w:p>
      <w:pPr>
        <w:pStyle w:val="Heading1"/>
      </w:pPr>
      <w:r>
        <w:t>Module 2. QSAR Widgets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Build, validate, compare, and report QSAR models while keeping chemistry and data leakage in view.</w:t>
            </w:r>
          </w:p>
        </w:tc>
      </w:tr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File -&gt; Mol Descriptors 2 / Fingerprint Generator -&gt; QSAR Regression -&gt; Test &amp; Score</w:t>
            </w:r>
          </w:p>
        </w:tc>
      </w:tr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examples/qsar_widgets/qsar_training_set.csv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1: Descriptor Preparation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Generate molecular descriptors and inspect missing or constant features.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Descriptors 2 -&gt;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Identify descriptors with missing values and discuss preprocessing.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document descriptor settings.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2: Fingerprint QSAR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binary fingerprints as model features.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Fingerprint Generator -&gt; QSAR Regression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Morgan and cyclic registry fingerprints.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fingerprint radius/bit length tradeoffs.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3: Simple QSAR Regression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Train a baseline regression model for a continuous endpoint.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Descriptors 2 -&gt; QSAR Regression -&gt; Predictions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Fit a model and report RMSE/MAE/R2.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interpret metrics cautiously.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4: Scaffold Split Validation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Test whether performance survives scaffold-aware splitting.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Descriptors 2 -&gt; Scaffold Splitter -&gt; QSAR Regression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random and scaffold split performance.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identify overoptimistic random-split results.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5: Interpretable MLR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Build an interpretable multiple-linear-regression model.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Descriptors 2 -&gt; MLR Model Selection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Select few descriptors and discuss coefficients.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overfitting and unsupported mechanistic claims.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6: Model Comparison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descriptor, Morgan, and cyclic-registry feature sets.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Three feature branches -&gt; Test &amp; Score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a model comparison table.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report both performance and interpretability.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7: External Prediction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Apply the model to unseen molecules.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Training branch + external File -&gt; Predictions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Predict an external set and flag questionable cases.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connect prediction to applicability domain.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8: Activity Cliffs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Investigate why similar molecules can have different activity.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Fingerprint Generator -&gt; Activity Cliff Finder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Identify cliff pairs and inspect structures.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describe SAR implications.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9: QSAR Reporting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Prepare a reproducible QSAR report.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Full QSAR workflow -&gt; Save/Report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Document data, preprocessing, split, model, metrics, limitations.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include provenance and limitations.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10: Capstone QSAR Project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Design a small end-to-end QSAR study.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Standardizer -&gt; Features -&gt; Split -&gt; Model -&gt; AD -&gt; Report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Complete a concise project report.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justify every workflow choice.</w:t>
      </w:r>
    </w:p>
    <w:p>
      <w:r>
        <w:br w:type="page"/>
      </w:r>
    </w:p>
    <w:p>
      <w:pPr>
        <w:pStyle w:val="Heading1"/>
      </w:pPr>
      <w:r>
        <w:t>Module 3. Applicability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Decide when a QSAR prediction should be trusted, questioned, or rejected.</w:t>
            </w:r>
          </w:p>
        </w:tc>
      </w:tr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Reference File + Query File -&gt; Applicability Domain -&gt; Data Results / AD Summary</w:t>
            </w:r>
          </w:p>
        </w:tc>
      </w:tr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examples/applicability_domain/ad_reference_training_set.csv + ad_query_prediction_set.csv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1: Conceptual Introduction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Explain why a model has a domain of reliable use.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Training/query data -&gt; Applicability Domain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Classify molecules as inside/outside domain.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distinguish model error from domain warning.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2: Williams Leverage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leverage to identify structurally influential query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Descriptors -&gt; Applicability Domain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Interpret leverage and warning thresholds.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the Williams plot concept.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3: kNN Distance Domain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nearest-neighbour distances to assess local similarity.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Descriptors/Fingerprints -&gt; Applicability Domain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k values and distance thresholds.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relate distance to chemical similarity.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4: Mahalanobis Domain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multivariate distance to flag unusual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Descriptor table -&gt; Applicability Domain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Run Mahalanobis-based domain assessment.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discuss scaling and descriptor correlation.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5: External Prediction Reliability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Combine predictions with AD flags.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QSAR Predictions -&gt; Applicability Domain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Mark predictions as reliable/caution/outside domain.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report uncertainty labels.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6: Descriptor Choice Effect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Show that AD depends on representation.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Two descriptor/fingerprint branches -&gt; AD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AD flags across feature spaces.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not treat AD as absolute truth.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7: Fingerprint Domain Discussion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Discuss AD in binary fingerprint space.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Fingerprint Generator -&gt; Applicability Domain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Tanimoto-like thinking with descriptor distance.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identify limitations.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8: QSAR Reporting with AD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Add AD results to model reporting.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Full QSAR + AD workflow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Prepare a report paragraph for AD.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include rule, threshold, and consequence.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9: Outlier Triage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Investigate why compounds are outside domain.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AD Results -&gt; Data Table -&gt; Viewer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flagged molecules and propose actions.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recommend remove, retrain, or caution.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10: Capstone AD-QSAR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Build a QSAR model with an explicit reliability layer.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Standardizer -&gt; QSAR -&gt; AD -&gt; Report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Deliver a prediction table with AD decisions.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justify the decision policy.</w:t>
      </w:r>
    </w:p>
    <w:p>
      <w:r>
        <w:br w:type="page"/>
      </w:r>
    </w:p>
    <w:p>
      <w:pPr>
        <w:pStyle w:val="Heading1"/>
      </w:pPr>
      <w:r>
        <w:t>Module 4. Molecular Standardization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C62828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Clean molecular structures before descriptors, fingerprints, modelling, or interpretation.</w:t>
            </w:r>
          </w:p>
        </w:tc>
      </w:tr>
      <w:tr>
        <w:tc>
          <w:tcPr>
            <w:tcW w:type="dxa" w:w="5227"/>
            <w:shd w:fill="C62828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File -&gt; Mol Standardizer -&gt; Data Table / downstream feature widget</w:t>
            </w:r>
          </w:p>
        </w:tc>
      </w:tr>
      <w:tr>
        <w:tc>
          <w:tcPr>
            <w:tcW w:type="dxa" w:w="5227"/>
            <w:shd w:fill="C62828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examples/molecular_standardization/standardization_training_set.csv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1: Why Standardization Matters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Show that representation choices affect downstream results.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Standardizer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original and standardized SMILES.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identify at least three changed records.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2: Invalid SMILES and Sanitization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Detect and document invalid structures.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Standardizer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failed rows and error/status columns.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not silently discard failures.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3: Salts and Mixtures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Handle salts, mixtures, and largest-fragment choices.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Standardizer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preserve-salts and largest-fragment logic.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when each choice is appropriate.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4: Charge Normalization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Explore uncharging/reionization effects.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Track changes in charged examples.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preserve chemically meaningful charges when needed.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5: Nitro/Zwitterions/Quaternary Ammonium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Test common valence-sensitive cases.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Check nitro and quaternary ammonium examples.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understand why formal charges matter.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6: Aromaticity and Kekulization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aromatic and kekulized representations.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Cyclic Registry Fingerprint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Evaluate downstream motif matching.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document representation effects.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7: Tautomers and Protonation States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Discuss what standardization does and does not solve.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related protonation/tautomer examples.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pretending pH was fully modelled.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8: Before Fingerprints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Show standardization effect on fingerprint similarity.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Fingerprint Generator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bit outputs before/after cleaning.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report how preprocessing changes features.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9: Before QSAR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Show standardization as part of modelling workflow.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Descriptors -&gt; QSAR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Train a small model with clean data.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describe preprocessing in methods.</w:t>
      </w:r>
    </w:p>
    <w:p>
      <w:pPr>
        <w:spacing w:before="120" w:after="40"/>
      </w:pPr>
      <w:r>
        <w:rPr>
          <w:rFonts w:ascii="Aptos Display" w:hAnsi="Aptos Display"/>
          <w:b/>
          <w:color w:val="C62828"/>
          <w:sz w:val="22"/>
        </w:rPr>
        <w:t>Exercise 10: Reproducible Standardization Report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Create a standardization audit trail.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Mol Standardizer -&gt; Data Table/Report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Write a protocol with settings and failures.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include profile name and changed records.</w:t>
      </w:r>
    </w:p>
    <w:p>
      <w:r>
        <w:br w:type="page"/>
      </w:r>
    </w:p>
    <w:p>
      <w:pPr>
        <w:pStyle w:val="Heading1"/>
      </w:pPr>
      <w:r>
        <w:t>Module 5. ChEMBL Bioactivity Curation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Transform heterogeneous public bioactivity records into a transparent QSAR-ready dataset.</w:t>
            </w:r>
          </w:p>
        </w:tc>
      </w:tr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ChEMBL Browser -&gt; Bioactivity Retriever -&gt; Standardizer -&gt; QSAR features</w:t>
            </w:r>
          </w:p>
        </w:tc>
      </w:tr>
      <w:tr>
        <w:tc>
          <w:tcPr>
            <w:tcW w:type="dxa" w:w="5227"/>
            <w:shd w:fill="1F7A8C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examples/chembl_bioactivity_curation/chembl_bioactivity_curation_demo.csv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1: What is ChEMBL Data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Identify entities: compound, target, assay, document, activity.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Demo CSV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Label key columns and explain relationships.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not treat all rows as equivalent measurements.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2: Target Search and Confidence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target confidence to select biologically meaningful records.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ChEMBL Browser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targets with different confidence scores.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justify target selection.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3: Endpoints/Units/Relations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Curate IC50/Ki/Kd/EC50 and relation symbols.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Bioactivity table -&gt; Select Rows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Filter consistent endpoint and unit combinations.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pChEMBL and relation qualifiers.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4: Retrieving Bioactivities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Download or inspect bioactivities for a target.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ChEMBL Browser -&gt; Bioactivity Retriever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an initial raw table.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preserve raw data provenance.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5: Assay Filtering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Filter by assay type, confidence, organism, and validity comments.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Bioactivity Retriever -&gt; Select Rows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a curated subset.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document inclusion/exclusion rules.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6: Structure Cleaning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Standardize retrieved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Bioactivity table -&gt; Mol Standardizer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failures and salts.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connect curation and chemistry.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7: Duplicates and Aggregation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Handle repeated measurements for the same compound.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Data Table -&gt; Group/Aggregate workflow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mean/median/best-case aggregation.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state aggregation rule.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8: QSAR-Ready Dataset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Build a clean table for modelling.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Curated Bioactivity -&gt; Descriptors/Fingerprints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final table with endpoint and features.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include units and transformed endpoint.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9: Provenance and FAIR Reporting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Write a reproducible data curation protocol.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Workflow plus exported tables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Prepare a methods-ready curation paragraph.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report ChEMBL version/date if available.</w:t>
      </w:r>
    </w:p>
    <w:p>
      <w:pPr>
        <w:spacing w:before="120" w:after="40"/>
      </w:pPr>
      <w:r>
        <w:rPr>
          <w:rFonts w:ascii="Aptos Display" w:hAnsi="Aptos Display"/>
          <w:b/>
          <w:color w:val="1F7A8C"/>
          <w:sz w:val="22"/>
        </w:rPr>
        <w:t>Exercise 10: Capstone Curation Project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Prepare a small curated dataset from a target.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ChEMBL -&gt; Standardizer -&gt; QSAR-ready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Deliver raw, curated, and modelling-ready files.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justify every filter.</w:t>
      </w:r>
    </w:p>
    <w:p>
      <w:r>
        <w:br w:type="page"/>
      </w:r>
    </w:p>
    <w:p>
      <w:pPr>
        <w:pStyle w:val="Heading1"/>
      </w:pPr>
      <w:r>
        <w:t>Module 6. Scaffold and Activity Cliff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Use scaffolds and cliffs to connect chemical series, validation design, and medicinal chemistry interpretation.</w:t>
            </w:r>
          </w:p>
        </w:tc>
      </w:tr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File -&gt; Scaffold Analysis / Scaffold Splitter / Activity Cliff Finder</w:t>
            </w:r>
          </w:p>
        </w:tc>
      </w:tr>
      <w:tr>
        <w:tc>
          <w:tcPr>
            <w:tcW w:type="dxa" w:w="5227"/>
            <w:shd w:fill="F28C28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examples/scaffold_activity_cliff_analysis/scaffold_activity_training_set.csv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1: What Scaffolds Represent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Explain scaffold as a series-level abstraction.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Scaffold Analysis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molecule and scaffold columns.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overinterpreting scaffold as full chemistry.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2: Murcko and Generic Scaffolds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Murcko and generic scaffold definitions.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Scaffold Analysis -&gt; Scaffold Summary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scaffold grouping differences.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describe what atoms/bonds are abstracted.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3: Scaffold Frequency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Profile dominant chemical series.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Scaffold Analysis -&gt; Summary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Rank scaffolds by compound count.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identify series imbalance.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4: Scaffold Splitter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Create scaffold-aware train/test splits.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Scaffold Splitter -&gt; Train/Test Data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scaffold distribution across splits.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scaffold leakage.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5: Random vs Scaffold Split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Compare model performance under split strategies.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QSAR workflow with random vs scaffold split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Report performance differences.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why scaffold split is often harder.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6: Activity Cliff Concepts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Define similar structure/different activity.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Fingerprint Generator -&gt; Activity Cliff Finder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Find example cliff pairs.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connect cliffs to SAR uncertainty.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7: Detecting Cliffs with Fingerprints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Tune similarity and potency thresholds.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Activity Cliff Finder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Explore threshold sensitivity.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report parameter choices.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8: Medicinal Chemistry Interpretation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Interpret transformations in cliff pairs.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Activity Cliff Finder -&gt; Data Table -&gt; Viewer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Discuss substituent changes and activity shifts.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avoid unsupported mechanism claims.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9: Scaffold-Cliff-QSAR-AD Link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Connect cliffs to validation and domain warnings.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Scaffold + Cliff + QSAR + AD workflow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Identify difficult regions of chemical space.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synthesize multiple outputs.</w:t>
      </w:r>
    </w:p>
    <w:p>
      <w:pPr>
        <w:spacing w:before="120" w:after="40"/>
      </w:pPr>
      <w:r>
        <w:rPr>
          <w:rFonts w:ascii="Aptos Display" w:hAnsi="Aptos Display"/>
          <w:b/>
          <w:color w:val="F28C28"/>
          <w:sz w:val="22"/>
        </w:rPr>
        <w:t>Exercise 10: Capstone Scaffold/Cliff Project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Analyze a chemical series and report cliffs.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Full scaffold/cliff workflow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Deliver scaffold summary and selected cliff examples.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propose next design decisions.</w:t>
      </w:r>
    </w:p>
    <w:p>
      <w:r>
        <w:br w:type="page"/>
      </w:r>
    </w:p>
    <w:p>
      <w:pPr>
        <w:pStyle w:val="Heading1"/>
      </w:pPr>
      <w:r>
        <w:t>Module 7. Supplementary Cheminformatics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Big idea</w:t>
            </w:r>
          </w:p>
        </w:tc>
        <w:tc>
          <w:tcPr>
            <w:tcW w:type="dxa" w:w="5227"/>
            <w:shd w:fill="FFFFFF"/>
          </w:tcPr>
          <w:p>
            <w:r>
              <w:t>Use core cheminformatics widgets for similarity, substructure search, diversity, library design, visualization, MMPA, reactions, and QC.</w:t>
            </w:r>
          </w:p>
        </w:tc>
      </w:tr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Core workflow</w:t>
            </w:r>
          </w:p>
        </w:tc>
        <w:tc>
          <w:tcPr>
            <w:tcW w:type="dxa" w:w="5227"/>
            <w:shd w:fill="FFFFFF"/>
          </w:tcPr>
          <w:p>
            <w:r>
              <w:t>Similarity Search / Substructure Search / Diversity Picker / MMP / Reaction Enumerator / Viewers</w:t>
            </w:r>
          </w:p>
        </w:tc>
      </w:tr>
      <w:tr>
        <w:tc>
          <w:tcPr>
            <w:tcW w:type="dxa" w:w="5227"/>
            <w:shd w:fill="2E7D32"/>
          </w:tcPr>
          <w:p>
            <w:r>
              <w:rPr>
                <w:b/>
                <w:color w:val="FFFFFF"/>
              </w:rPr>
              <w:t>Suggested data</w:t>
            </w:r>
          </w:p>
        </w:tc>
        <w:tc>
          <w:tcPr>
            <w:tcW w:type="dxa" w:w="5227"/>
            <w:shd w:fill="FFFFFF"/>
          </w:tcPr>
          <w:p>
            <w:r>
              <w:t>examples/supplementary_cheminformatics_workflows/*.csv</w:t>
            </w:r>
          </w:p>
        </w:tc>
      </w:tr>
    </w:tbl>
    <w:p>
      <w:pPr>
        <w:pStyle w:val="Heading2"/>
      </w:pPr>
      <w:r>
        <w:t>Implementation sequence</w:t>
      </w:r>
    </w:p>
    <w:p>
      <w:r>
        <w:rPr>
          <w:b/>
        </w:rPr>
        <w:t xml:space="preserve">Before class: </w:t>
      </w:r>
      <w:r>
        <w:t xml:space="preserve">install/update package, open the example CSV, run the first workflow, and confirm expected outputs. </w:t>
      </w:r>
      <w:r>
        <w:rPr>
          <w:b/>
        </w:rPr>
        <w:t xml:space="preserve">During class: </w:t>
      </w:r>
      <w:r>
        <w:t xml:space="preserve">start with a prediction question, run the widget, inspect both numerical and chemical outputs, then require a short explanation. </w:t>
      </w:r>
      <w:r>
        <w:rPr>
          <w:b/>
        </w:rPr>
        <w:t xml:space="preserve">After class: </w:t>
      </w:r>
      <w:r>
        <w:t>collect the .ows workflow, exported table, and one-paragraph interpretation with limitations.</w:t>
      </w:r>
    </w:p>
    <w:p>
      <w:pPr>
        <w:pStyle w:val="Heading2"/>
      </w:pPr>
      <w:r>
        <w:t>Exercise cards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1: Similarity Search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Find molecules similar to a query and interpret Tanimoto scores.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Fingerprint Generator -&gt; Similarity Search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Rank library molecules by similarity.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state fingerprint and threshold.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2: Substructure SMARTS Search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Search a library for a structural motif.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Substructure Search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Use SMARTS examples and inspect matches.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SMARTS specificity.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3: Diversity Picker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Select a small diverse subset from a larger library.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Fingerprint Generator -&gt; Diversity Picker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Pick a representative set and justify size.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distinguish diversity from quality.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4: Drug Filter/Likeness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Apply drug-like or rule-based filters.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Drug Filter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accepted/rejected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treat filters as heuristics.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5: SDF I/O and Provenance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Read/write molecule files while keeping metadata.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SDF Reader -&gt; Processing -&gt; SDF Writer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Export processed structures with properties.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verify metadata survives.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6: Molecule Visualization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Use viewers for structural quality control.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Mol Viewer / Mol 3D Viewer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problematic entries visually.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identify visual QC limitations.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7: R-Group Decomposition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Analyze substituent patterns in a series.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R-Group Decomposition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Map substituents to a common core.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interpret R-groups chemically.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8: Matched Molecular Pairs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Find transformations associated with property changes.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Matched Molecular Pairs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Review transformations and activity deltas.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connect MMPs to design hypotheses.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9: Reaction Enumeration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Generate virtual products from rules and reactants.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Reactants + Rules -&gt; Reaction Enumerator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Inspect enumerated products and failures.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document reaction scope assumptions.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10: Pharmacophore Fingerprint Search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Search by pharmacophore-like feature patterns.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File -&gt; PharmaFP Search -&gt; Data Table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Compare structural vs pharmacophoric similarity.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explain feature abstraction.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11: Integrated QC Pipeline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Design a reliable preparation pipeline for a library.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Standardizer -&gt; Filters -&gt; Fingerprints -&gt; Viewer -&gt; Writer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Create a QC table and export accepted compounds.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document every exclusion.</w:t>
      </w:r>
    </w:p>
    <w:p>
      <w:pPr>
        <w:spacing w:before="120" w:after="40"/>
      </w:pPr>
      <w:r>
        <w:rPr>
          <w:rFonts w:ascii="Aptos Display" w:hAnsi="Aptos Display"/>
          <w:b/>
          <w:color w:val="2E7D32"/>
          <w:sz w:val="22"/>
        </w:rPr>
        <w:t>Exercise 12: Capstone Library Design</w:t>
      </w:r>
    </w:p>
    <w:p>
      <w:pPr>
        <w:pStyle w:val="ListBullet"/>
        <w:ind w:left="259"/>
      </w:pPr>
      <w:r>
        <w:rPr>
          <w:b/>
          <w:color w:val="1F2933"/>
        </w:rPr>
        <w:t xml:space="preserve">Learning objective: </w:t>
      </w:r>
      <w:r>
        <w:t>Design a focused screening library.</w:t>
      </w:r>
    </w:p>
    <w:p>
      <w:pPr>
        <w:pStyle w:val="ListBullet"/>
        <w:ind w:left="259"/>
      </w:pPr>
      <w:r>
        <w:rPr>
          <w:b/>
          <w:color w:val="1F2933"/>
        </w:rPr>
        <w:t xml:space="preserve">Orange workflow: </w:t>
      </w:r>
      <w:r>
        <w:t>Multiple workflow branches</w:t>
      </w:r>
    </w:p>
    <w:p>
      <w:pPr>
        <w:pStyle w:val="ListBullet"/>
        <w:ind w:left="259"/>
      </w:pPr>
      <w:r>
        <w:rPr>
          <w:b/>
          <w:color w:val="1F2933"/>
        </w:rPr>
        <w:t xml:space="preserve">Implementation steps: </w:t>
      </w:r>
      <w:r>
        <w:t>Load the suggested data; connect widgets in the listed order; run the workflow; inspect the main output and at least one diagnostic/interpretive output; save the workflow and export the result table. Specific task: Deliver selected set and design rationale.</w:t>
      </w:r>
    </w:p>
    <w:p>
      <w:pPr>
        <w:pStyle w:val="ListBullet"/>
        <w:ind w:left="259"/>
      </w:pPr>
      <w:r>
        <w:rPr>
          <w:b/>
          <w:color w:val="1F2933"/>
        </w:rPr>
        <w:t xml:space="preserve">Student deliverable: </w:t>
      </w:r>
      <w:r>
        <w:t>Saved .ows workflow, exported result table, and 5-8 sentence interpretation.</w:t>
      </w:r>
    </w:p>
    <w:p>
      <w:pPr>
        <w:pStyle w:val="ListBullet"/>
        <w:ind w:left="259"/>
      </w:pPr>
      <w:r>
        <w:rPr>
          <w:b/>
          <w:color w:val="1F2933"/>
        </w:rPr>
        <w:t xml:space="preserve">Assessment evidence: </w:t>
      </w:r>
      <w:r>
        <w:t>Students should balance diversity, motifs, and constraints.</w:t>
      </w:r>
    </w:p>
    <w:p>
      <w:r>
        <w:br w:type="page"/>
      </w:r>
    </w:p>
    <w:p>
      <w:pPr>
        <w:pStyle w:val="Heading1"/>
      </w:pPr>
      <w:r>
        <w:t>Quick Implementation Checklists</w:t>
      </w:r>
    </w:p>
    <w:p>
      <w:pPr>
        <w:pStyle w:val="Heading2"/>
      </w:pPr>
      <w:r>
        <w:t>Installation check</w:t>
      </w:r>
    </w:p>
    <w:p>
      <w:pPr>
        <w:pStyle w:val="ListBullet"/>
      </w:pPr>
      <w:r>
        <w:t>conda activate owcheminf</w:t>
      </w:r>
    </w:p>
    <w:p>
      <w:pPr>
        <w:pStyle w:val="ListBullet"/>
      </w:pPr>
      <w:r>
        <w:t>pip install -e .</w:t>
      </w:r>
    </w:p>
    <w:p>
      <w:pPr>
        <w:pStyle w:val="ListBullet"/>
      </w:pPr>
      <w:r>
        <w:t>orange-canvas</w:t>
      </w:r>
    </w:p>
    <w:p>
      <w:pPr>
        <w:pStyle w:val="ListBullet"/>
      </w:pPr>
      <w:r>
        <w:t>Confirm widget category: Cheminf - Processing</w:t>
      </w:r>
    </w:p>
    <w:p>
      <w:pPr>
        <w:pStyle w:val="Heading2"/>
      </w:pPr>
      <w:r>
        <w:t>Before each lesson</w:t>
      </w:r>
    </w:p>
    <w:p>
      <w:pPr>
        <w:pStyle w:val="ListBullet"/>
      </w:pPr>
      <w:r>
        <w:t>Open the dataset from examples/...</w:t>
      </w:r>
    </w:p>
    <w:p>
      <w:pPr>
        <w:pStyle w:val="ListBullet"/>
      </w:pPr>
      <w:r>
        <w:t>Run the workflow once as teacher</w:t>
      </w:r>
    </w:p>
    <w:p>
      <w:pPr>
        <w:pStyle w:val="ListBullet"/>
      </w:pPr>
      <w:r>
        <w:t>Prepare expected output screenshots or result snippets</w:t>
      </w:r>
    </w:p>
    <w:p>
      <w:pPr>
        <w:pStyle w:val="ListBullet"/>
      </w:pPr>
      <w:r>
        <w:t>Decide assessment evidence: table, report, or workflow</w:t>
      </w:r>
    </w:p>
    <w:p>
      <w:pPr>
        <w:pStyle w:val="Heading2"/>
      </w:pPr>
      <w:r>
        <w:t>Student submission package</w:t>
      </w:r>
    </w:p>
    <w:p>
      <w:pPr>
        <w:pStyle w:val="ListBullet"/>
      </w:pPr>
      <w:r>
        <w:t>Orange .ows workflow</w:t>
      </w:r>
    </w:p>
    <w:p>
      <w:pPr>
        <w:pStyle w:val="ListBullet"/>
      </w:pPr>
      <w:r>
        <w:t>Exported CSV or table screenshot</w:t>
      </w:r>
    </w:p>
    <w:p>
      <w:pPr>
        <w:pStyle w:val="ListBullet"/>
      </w:pPr>
      <w:r>
        <w:t>Short methods paragraph with settings</w:t>
      </w:r>
    </w:p>
    <w:p>
      <w:pPr>
        <w:pStyle w:val="ListBullet"/>
      </w:pPr>
      <w:r>
        <w:t>Short interpretation with limitations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widget is missing: reinstall editable package</w:t>
      </w:r>
    </w:p>
    <w:p>
      <w:pPr>
        <w:pStyle w:val="ListBullet"/>
      </w:pPr>
      <w:r>
        <w:t>If SMILES fail: inspect standardization/failure columns</w:t>
      </w:r>
    </w:p>
    <w:p>
      <w:pPr>
        <w:pStyle w:val="ListBullet"/>
      </w:pPr>
      <w:r>
        <w:t>If model looks too good: check duplicates and split leakage</w:t>
      </w:r>
    </w:p>
    <w:p>
      <w:pPr>
        <w:pStyle w:val="ListBullet"/>
      </w:pPr>
      <w:r>
        <w:t>If outputs differ: record package/RDKit versions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 in Chemistry - Exercise and Implementation Companion</dc:title>
  <dc:subject>Exercises and implementation instructions for Orange chemistry teaching packages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