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ptos" w:hAnsi="Aptos" w:eastAsia="Aptos"/>
          <w:b/>
          <w:color w:val="1AA6A6"/>
          <w:sz w:val="18"/>
        </w:rPr>
        <w:t>MODERN TEACHING BOOKLET</w:t>
      </w:r>
    </w:p>
    <w:p>
      <w:pPr>
        <w:spacing w:before="1600"/>
        <w:jc w:val="left"/>
      </w:pPr>
      <w:r>
        <w:rPr>
          <w:rFonts w:ascii="Aptos" w:hAnsi="Aptos" w:eastAsia="Aptos"/>
          <w:b/>
          <w:color w:val="12324A"/>
          <w:sz w:val="68"/>
        </w:rPr>
        <w:t>Teaching Chemistry</w:t>
        <w:br/>
        <w:t>with Orange Data Mining</w:t>
      </w:r>
    </w:p>
    <w:p>
      <w:pPr>
        <w:spacing w:after="500"/>
      </w:pPr>
      <w:r>
        <w:rPr>
          <w:rFonts w:ascii="Aptos" w:hAnsi="Aptos" w:eastAsia="Aptos"/>
          <w:color w:val="5B6670"/>
          <w:sz w:val="27"/>
        </w:rPr>
        <w:t>Pedagogical guidelines, classroom patterns, and ready-to-use examples for cheminformatics, QSAR, molecular standardization, ChEMBL curation, cyclic fingerprints, scaffolds, activity cliffs, and applicability domain.</w:t>
      </w:r>
    </w:p>
    <w:tbl>
      <w:tblPr>
        <w:tblW w:type="auto" w:w="0"/>
        <w:jc w:val="center"/>
        <w:tblLayout w:type="fixed"/>
        <w:tblLook w:firstColumn="1" w:firstRow="1" w:lastColumn="0" w:lastRow="0" w:noHBand="0" w:noVBand="1" w:val="04A0"/>
      </w:tblPr>
      <w:tblGrid>
        <w:gridCol w:w="4579"/>
        <w:gridCol w:w="4579"/>
      </w:tblGrid>
      <w:tr>
        <w:tc>
          <w:tcPr>
            <w:tcW w:type="dxa" w:w="5184"/>
            <w:shd w:fill="EAF7F7"/>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AA6A6"/>
                <w:sz w:val="22"/>
              </w:rPr>
              <w:t>Inquiry-first</w:t>
            </w:r>
          </w:p>
          <w:p>
            <w:r>
              <w:rPr>
                <w:rFonts w:ascii="Aptos" w:hAnsi="Aptos" w:eastAsia="Aptos"/>
                <w:color w:val="1D252D"/>
                <w:sz w:val="17"/>
              </w:rPr>
              <w:t>Students begin with a chemical question, not a button sequence.</w:t>
            </w:r>
          </w:p>
        </w:tc>
        <w:tc>
          <w:tcPr>
            <w:tcW w:type="dxa" w:w="5184"/>
            <w:shd w:fill="FFF3E6"/>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F28C28"/>
                <w:sz w:val="22"/>
              </w:rPr>
              <w:t>Workflow literacy</w:t>
            </w:r>
          </w:p>
          <w:p>
            <w:r>
              <w:rPr>
                <w:rFonts w:ascii="Aptos" w:hAnsi="Aptos" w:eastAsia="Aptos"/>
                <w:color w:val="1D252D"/>
                <w:sz w:val="17"/>
              </w:rPr>
              <w:t>Orange workflows make data flow, assumptions, and model steps visible.</w:t>
            </w:r>
          </w:p>
        </w:tc>
      </w:tr>
      <w:tr>
        <w:tc>
          <w:tcPr>
            <w:tcW w:type="dxa" w:w="5184"/>
            <w:shd w:fill="EEF7EE"/>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5FA35F"/>
                <w:sz w:val="22"/>
              </w:rPr>
              <w:t>Interpretability</w:t>
            </w:r>
          </w:p>
          <w:p>
            <w:r>
              <w:rPr>
                <w:rFonts w:ascii="Aptos" w:hAnsi="Aptos" w:eastAsia="Aptos"/>
                <w:color w:val="1D252D"/>
                <w:sz w:val="17"/>
              </w:rPr>
              <w:t>Matched motifs, scaffolds, and AD outputs support chemical reasoning.</w:t>
            </w:r>
          </w:p>
        </w:tc>
        <w:tc>
          <w:tcPr>
            <w:tcW w:type="dxa" w:w="5184"/>
            <w:shd w:fill="F4F6FA"/>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Reproducibility</w:t>
            </w:r>
          </w:p>
          <w:p>
            <w:r>
              <w:rPr>
                <w:rFonts w:ascii="Aptos" w:hAnsi="Aptos" w:eastAsia="Aptos"/>
                <w:color w:val="1D252D"/>
                <w:sz w:val="17"/>
              </w:rPr>
              <w:t>Every activity asks students to record data source, preprocessing, settings, and limits.</w:t>
            </w:r>
          </w:p>
        </w:tc>
      </w:tr>
    </w:tbl>
    <w:p>
      <w:pPr>
        <w:spacing w:after="100"/>
      </w:pPr>
    </w:p>
    <w:tbl>
      <w:tblPr>
        <w:tblW w:type="auto" w:w="0"/>
        <w:jc w:val="center"/>
        <w:tblLayout w:type="fixed"/>
        <w:tblLook w:firstColumn="1" w:firstRow="1" w:lastColumn="0" w:lastRow="0" w:noHBand="0" w:noVBand="1" w:val="04A0"/>
      </w:tblPr>
      <w:tblGrid>
        <w:gridCol w:w="173"/>
        <w:gridCol w:w="8856"/>
      </w:tblGrid>
      <w:tr>
        <w:tc>
          <w:tcPr>
            <w:tcW w:type="dxa" w:w="5184"/>
            <w:shd w:fill="12324A"/>
            <w:tcMar>
              <w:top w:w="120" w:type="dxa"/>
              <w:start w:w="100" w:type="dxa"/>
              <w:bottom w:w="120" w:type="dxa"/>
              <w:end w:w="100" w:type="dxa"/>
            </w:tcMar>
            <w:tcBorders>
              <w:top w:sz="0" w:val="single" w:color="F4F6FA"/>
              <w:left w:sz="0" w:val="single" w:color="F4F6FA"/>
              <w:bottom w:sz="0" w:val="single" w:color="F4F6FA"/>
              <w:right w:sz="0" w:val="single" w:color="F4F6FA"/>
            </w:tcBorders>
            <w:vAlign w:val="center"/>
          </w:tcPr>
          <w:p/>
        </w:tc>
        <w:tc>
          <w:tcPr>
            <w:tcW w:type="dxa" w:w="5184"/>
            <w:shd w:fill="F4F6FA"/>
            <w:tcMar>
              <w:top w:w="120" w:type="dxa"/>
              <w:start w:w="100" w:type="dxa"/>
              <w:bottom w:w="120" w:type="dxa"/>
              <w:end w:w="100" w:type="dxa"/>
            </w:tcMar>
            <w:tcBorders>
              <w:top w:sz="0" w:val="single" w:color="F4F6FA"/>
              <w:left w:sz="0" w:val="single" w:color="F4F6FA"/>
              <w:bottom w:sz="0" w:val="single" w:color="F4F6FA"/>
              <w:right w:sz="0" w:val="single" w:color="F4F6FA"/>
            </w:tcBorders>
            <w:vAlign w:val="center"/>
          </w:tcPr>
          <w:p>
            <w:r>
              <w:rPr>
                <w:rFonts w:ascii="Aptos" w:hAnsi="Aptos" w:eastAsia="Aptos"/>
                <w:b/>
                <w:color w:val="12324A"/>
                <w:sz w:val="21"/>
              </w:rPr>
              <w:t>Design note</w:t>
            </w:r>
          </w:p>
          <w:p>
            <w:pPr>
              <w:spacing w:before="40" w:after="0"/>
            </w:pPr>
            <w:r>
              <w:rPr>
                <w:rFonts w:ascii="Aptos" w:hAnsi="Aptos" w:eastAsia="Aptos"/>
                <w:color w:val="1D252D"/>
                <w:sz w:val="18"/>
              </w:rPr>
              <w:t>This booklet uses a clean modular style: short sections, visual cards, workflow boxes, checklists, and reusable lesson patterns. It is intended for print, PDF sharing, and teacher preparation.</w:t>
            </w:r>
          </w:p>
        </w:tc>
      </w:tr>
    </w:tbl>
    <w:p>
      <w:pPr>
        <w:spacing w:after="40"/>
      </w:pPr>
    </w:p>
    <w:p>
      <w:pPr>
        <w:spacing w:before="600"/>
      </w:pPr>
      <w:r>
        <w:rPr>
          <w:rFonts w:ascii="Aptos" w:hAnsi="Aptos" w:eastAsia="Aptos"/>
          <w:color w:val="5B6670"/>
          <w:sz w:val="19"/>
        </w:rPr>
        <w:t>Prepared for the OWChemInf / chem-inf-widgets teaching package</w:t>
      </w:r>
    </w:p>
    <w:p>
      <w:r>
        <w:br w:type="page"/>
      </w:r>
    </w:p>
    <w:p>
      <w:pPr>
        <w:spacing w:after="40"/>
      </w:pPr>
      <w:r>
        <w:rPr>
          <w:rFonts w:ascii="Aptos" w:hAnsi="Aptos" w:eastAsia="Aptos"/>
          <w:b/>
          <w:color w:val="1AA6A6"/>
          <w:sz w:val="17"/>
        </w:rPr>
        <w:t>BOOKLET MAP</w:t>
      </w:r>
    </w:p>
    <w:p>
      <w:pPr>
        <w:pStyle w:val="Heading1"/>
        <w:spacing w:after="200"/>
      </w:pPr>
      <w:r>
        <w:rPr>
          <w:rFonts w:ascii="Aptos" w:hAnsi="Aptos" w:eastAsia="Aptos"/>
          <w:b/>
          <w:color w:val="12324A"/>
          <w:sz w:val="48"/>
        </w:rPr>
        <w:t>Contents</w:t>
      </w:r>
    </w:p>
    <w:tbl>
      <w:tblPr>
        <w:tblStyle w:val="TableGrid"/>
        <w:tblW w:type="auto" w:w="0"/>
        <w:jc w:val="center"/>
        <w:tblLayout w:type="fixed"/>
        <w:tblLook w:firstColumn="1" w:firstRow="1" w:lastColumn="0" w:lastRow="0" w:noHBand="0" w:noVBand="1" w:val="04A0"/>
      </w:tblPr>
      <w:tblGrid>
        <w:gridCol w:w="1152"/>
        <w:gridCol w:w="7776"/>
      </w:tblGrid>
      <w:tr>
        <w:tc>
          <w:tcPr>
            <w:tcW w:type="dxa" w:w="5184"/>
            <w:shd w:fill="1AA6A6"/>
            <w:tcMar>
              <w:top w:w="90" w:type="dxa"/>
              <w:start w:w="100" w:type="dxa"/>
              <w:bottom w:w="90" w:type="dxa"/>
              <w:end w:w="100" w:type="dxa"/>
            </w:tcMar>
          </w:tcPr>
          <w:p>
            <w:r>
              <w:rPr>
                <w:rFonts w:ascii="Aptos" w:hAnsi="Aptos" w:eastAsia="Aptos"/>
                <w:b/>
                <w:color w:val="FFFFFF"/>
                <w:sz w:val="17"/>
              </w:rPr>
              <w:t>Section</w:t>
            </w:r>
          </w:p>
        </w:tc>
        <w:tc>
          <w:tcPr>
            <w:tcW w:type="dxa" w:w="5184"/>
            <w:shd w:fill="1AA6A6"/>
            <w:tcMar>
              <w:top w:w="90" w:type="dxa"/>
              <w:start w:w="100" w:type="dxa"/>
              <w:bottom w:w="90" w:type="dxa"/>
              <w:end w:w="100" w:type="dxa"/>
            </w:tcMar>
          </w:tcPr>
          <w:p>
            <w:r>
              <w:rPr>
                <w:rFonts w:ascii="Aptos" w:hAnsi="Aptos" w:eastAsia="Aptos"/>
                <w:b/>
                <w:color w:val="FFFFFF"/>
                <w:sz w:val="17"/>
              </w:rPr>
              <w:t>Topic</w:t>
            </w:r>
          </w:p>
        </w:tc>
      </w:tr>
      <w:tr>
        <w:tc>
          <w:tcPr>
            <w:tcW w:type="dxa" w:w="1152"/>
            <w:shd w:fill="F9FBFC"/>
            <w:tcMar>
              <w:top w:w="80" w:type="dxa"/>
              <w:start w:w="100" w:type="dxa"/>
              <w:bottom w:w="80" w:type="dxa"/>
              <w:end w:w="100" w:type="dxa"/>
            </w:tcMar>
          </w:tcPr>
          <w:p>
            <w:r>
              <w:rPr>
                <w:rFonts w:ascii="Aptos" w:hAnsi="Aptos" w:eastAsia="Aptos"/>
                <w:color w:val="1D252D"/>
                <w:sz w:val="16"/>
              </w:rPr>
              <w:t>1</w:t>
            </w:r>
          </w:p>
        </w:tc>
        <w:tc>
          <w:tcPr>
            <w:tcW w:type="dxa" w:w="7776"/>
            <w:shd w:fill="F9FBFC"/>
            <w:tcMar>
              <w:top w:w="80" w:type="dxa"/>
              <w:start w:w="100" w:type="dxa"/>
              <w:bottom w:w="80" w:type="dxa"/>
              <w:end w:w="100" w:type="dxa"/>
            </w:tcMar>
          </w:tcPr>
          <w:p>
            <w:r>
              <w:rPr>
                <w:rFonts w:ascii="Aptos" w:hAnsi="Aptos" w:eastAsia="Aptos"/>
                <w:color w:val="1D252D"/>
                <w:sz w:val="16"/>
              </w:rPr>
              <w:t>Teaching philosophy for Orange in chemistry</w:t>
            </w:r>
          </w:p>
        </w:tc>
      </w:tr>
      <w:tr>
        <w:tc>
          <w:tcPr>
            <w:tcW w:type="dxa" w:w="1152"/>
            <w:shd w:fill="FFFFFF"/>
            <w:tcMar>
              <w:top w:w="80" w:type="dxa"/>
              <w:start w:w="100" w:type="dxa"/>
              <w:bottom w:w="80" w:type="dxa"/>
              <w:end w:w="100" w:type="dxa"/>
            </w:tcMar>
          </w:tcPr>
          <w:p>
            <w:r>
              <w:rPr>
                <w:rFonts w:ascii="Aptos" w:hAnsi="Aptos" w:eastAsia="Aptos"/>
                <w:color w:val="1D252D"/>
                <w:sz w:val="16"/>
              </w:rPr>
              <w:t>2</w:t>
            </w:r>
          </w:p>
        </w:tc>
        <w:tc>
          <w:tcPr>
            <w:tcW w:type="dxa" w:w="7776"/>
            <w:shd w:fill="FFFFFF"/>
            <w:tcMar>
              <w:top w:w="80" w:type="dxa"/>
              <w:start w:w="100" w:type="dxa"/>
              <w:bottom w:w="80" w:type="dxa"/>
              <w:end w:w="100" w:type="dxa"/>
            </w:tcMar>
          </w:tcPr>
          <w:p>
            <w:r>
              <w:rPr>
                <w:rFonts w:ascii="Aptos" w:hAnsi="Aptos" w:eastAsia="Aptos"/>
                <w:color w:val="1D252D"/>
                <w:sz w:val="16"/>
              </w:rPr>
              <w:t>Learning design principles</w:t>
            </w:r>
          </w:p>
        </w:tc>
      </w:tr>
      <w:tr>
        <w:tc>
          <w:tcPr>
            <w:tcW w:type="dxa" w:w="1152"/>
            <w:shd w:fill="F9FBFC"/>
            <w:tcMar>
              <w:top w:w="80" w:type="dxa"/>
              <w:start w:w="100" w:type="dxa"/>
              <w:bottom w:w="80" w:type="dxa"/>
              <w:end w:w="100" w:type="dxa"/>
            </w:tcMar>
          </w:tcPr>
          <w:p>
            <w:r>
              <w:rPr>
                <w:rFonts w:ascii="Aptos" w:hAnsi="Aptos" w:eastAsia="Aptos"/>
                <w:color w:val="1D252D"/>
                <w:sz w:val="16"/>
              </w:rPr>
              <w:t>3</w:t>
            </w:r>
          </w:p>
        </w:tc>
        <w:tc>
          <w:tcPr>
            <w:tcW w:type="dxa" w:w="7776"/>
            <w:shd w:fill="F9FBFC"/>
            <w:tcMar>
              <w:top w:w="80" w:type="dxa"/>
              <w:start w:w="100" w:type="dxa"/>
              <w:bottom w:w="80" w:type="dxa"/>
              <w:end w:w="100" w:type="dxa"/>
            </w:tcMar>
          </w:tcPr>
          <w:p>
            <w:r>
              <w:rPr>
                <w:rFonts w:ascii="Aptos" w:hAnsi="Aptos" w:eastAsia="Aptos"/>
                <w:color w:val="1D252D"/>
                <w:sz w:val="16"/>
              </w:rPr>
              <w:t>Modern lesson architecture</w:t>
            </w:r>
          </w:p>
        </w:tc>
      </w:tr>
      <w:tr>
        <w:tc>
          <w:tcPr>
            <w:tcW w:type="dxa" w:w="1152"/>
            <w:shd w:fill="FFFFFF"/>
            <w:tcMar>
              <w:top w:w="80" w:type="dxa"/>
              <w:start w:w="100" w:type="dxa"/>
              <w:bottom w:w="80" w:type="dxa"/>
              <w:end w:w="100" w:type="dxa"/>
            </w:tcMar>
          </w:tcPr>
          <w:p>
            <w:r>
              <w:rPr>
                <w:rFonts w:ascii="Aptos" w:hAnsi="Aptos" w:eastAsia="Aptos"/>
                <w:color w:val="1D252D"/>
                <w:sz w:val="16"/>
              </w:rPr>
              <w:t>4</w:t>
            </w:r>
          </w:p>
        </w:tc>
        <w:tc>
          <w:tcPr>
            <w:tcW w:type="dxa" w:w="7776"/>
            <w:shd w:fill="FFFFFF"/>
            <w:tcMar>
              <w:top w:w="80" w:type="dxa"/>
              <w:start w:w="100" w:type="dxa"/>
              <w:bottom w:w="80" w:type="dxa"/>
              <w:end w:w="100" w:type="dxa"/>
            </w:tcMar>
          </w:tcPr>
          <w:p>
            <w:r>
              <w:rPr>
                <w:rFonts w:ascii="Aptos" w:hAnsi="Aptos" w:eastAsia="Aptos"/>
                <w:color w:val="1D252D"/>
                <w:sz w:val="16"/>
              </w:rPr>
              <w:t>Core workflow patterns</w:t>
            </w:r>
          </w:p>
        </w:tc>
      </w:tr>
      <w:tr>
        <w:tc>
          <w:tcPr>
            <w:tcW w:type="dxa" w:w="1152"/>
            <w:shd w:fill="F9FBFC"/>
            <w:tcMar>
              <w:top w:w="80" w:type="dxa"/>
              <w:start w:w="100" w:type="dxa"/>
              <w:bottom w:w="80" w:type="dxa"/>
              <w:end w:w="100" w:type="dxa"/>
            </w:tcMar>
          </w:tcPr>
          <w:p>
            <w:r>
              <w:rPr>
                <w:rFonts w:ascii="Aptos" w:hAnsi="Aptos" w:eastAsia="Aptos"/>
                <w:color w:val="1D252D"/>
                <w:sz w:val="16"/>
              </w:rPr>
              <w:t>5</w:t>
            </w:r>
          </w:p>
        </w:tc>
        <w:tc>
          <w:tcPr>
            <w:tcW w:type="dxa" w:w="7776"/>
            <w:shd w:fill="F9FBFC"/>
            <w:tcMar>
              <w:top w:w="80" w:type="dxa"/>
              <w:start w:w="100" w:type="dxa"/>
              <w:bottom w:w="80" w:type="dxa"/>
              <w:end w:w="100" w:type="dxa"/>
            </w:tcMar>
          </w:tcPr>
          <w:p>
            <w:r>
              <w:rPr>
                <w:rFonts w:ascii="Aptos" w:hAnsi="Aptos" w:eastAsia="Aptos"/>
                <w:color w:val="1D252D"/>
                <w:sz w:val="16"/>
              </w:rPr>
              <w:t>Teaching package map</w:t>
            </w:r>
          </w:p>
        </w:tc>
      </w:tr>
      <w:tr>
        <w:tc>
          <w:tcPr>
            <w:tcW w:type="dxa" w:w="1152"/>
            <w:shd w:fill="FFFFFF"/>
            <w:tcMar>
              <w:top w:w="80" w:type="dxa"/>
              <w:start w:w="100" w:type="dxa"/>
              <w:bottom w:w="80" w:type="dxa"/>
              <w:end w:w="100" w:type="dxa"/>
            </w:tcMar>
          </w:tcPr>
          <w:p>
            <w:r>
              <w:rPr>
                <w:rFonts w:ascii="Aptos" w:hAnsi="Aptos" w:eastAsia="Aptos"/>
                <w:color w:val="1D252D"/>
                <w:sz w:val="16"/>
              </w:rPr>
              <w:t>6</w:t>
            </w:r>
          </w:p>
        </w:tc>
        <w:tc>
          <w:tcPr>
            <w:tcW w:type="dxa" w:w="7776"/>
            <w:shd w:fill="FFFFFF"/>
            <w:tcMar>
              <w:top w:w="80" w:type="dxa"/>
              <w:start w:w="100" w:type="dxa"/>
              <w:bottom w:w="80" w:type="dxa"/>
              <w:end w:w="100" w:type="dxa"/>
            </w:tcMar>
          </w:tcPr>
          <w:p>
            <w:r>
              <w:rPr>
                <w:rFonts w:ascii="Aptos" w:hAnsi="Aptos" w:eastAsia="Aptos"/>
                <w:color w:val="1D252D"/>
                <w:sz w:val="16"/>
              </w:rPr>
              <w:t>Ten classroom-ready examples</w:t>
            </w:r>
          </w:p>
        </w:tc>
      </w:tr>
      <w:tr>
        <w:tc>
          <w:tcPr>
            <w:tcW w:type="dxa" w:w="1152"/>
            <w:shd w:fill="F9FBFC"/>
            <w:tcMar>
              <w:top w:w="80" w:type="dxa"/>
              <w:start w:w="100" w:type="dxa"/>
              <w:bottom w:w="80" w:type="dxa"/>
              <w:end w:w="100" w:type="dxa"/>
            </w:tcMar>
          </w:tcPr>
          <w:p>
            <w:r>
              <w:rPr>
                <w:rFonts w:ascii="Aptos" w:hAnsi="Aptos" w:eastAsia="Aptos"/>
                <w:color w:val="1D252D"/>
                <w:sz w:val="16"/>
              </w:rPr>
              <w:t>7</w:t>
            </w:r>
          </w:p>
        </w:tc>
        <w:tc>
          <w:tcPr>
            <w:tcW w:type="dxa" w:w="7776"/>
            <w:shd w:fill="F9FBFC"/>
            <w:tcMar>
              <w:top w:w="80" w:type="dxa"/>
              <w:start w:w="100" w:type="dxa"/>
              <w:bottom w:w="80" w:type="dxa"/>
              <w:end w:w="100" w:type="dxa"/>
            </w:tcMar>
          </w:tcPr>
          <w:p>
            <w:r>
              <w:rPr>
                <w:rFonts w:ascii="Aptos" w:hAnsi="Aptos" w:eastAsia="Aptos"/>
                <w:color w:val="1D252D"/>
                <w:sz w:val="16"/>
              </w:rPr>
              <w:t>Assessment and rubrics</w:t>
            </w:r>
          </w:p>
        </w:tc>
      </w:tr>
      <w:tr>
        <w:tc>
          <w:tcPr>
            <w:tcW w:type="dxa" w:w="1152"/>
            <w:shd w:fill="FFFFFF"/>
            <w:tcMar>
              <w:top w:w="80" w:type="dxa"/>
              <w:start w:w="100" w:type="dxa"/>
              <w:bottom w:w="80" w:type="dxa"/>
              <w:end w:w="100" w:type="dxa"/>
            </w:tcMar>
          </w:tcPr>
          <w:p>
            <w:r>
              <w:rPr>
                <w:rFonts w:ascii="Aptos" w:hAnsi="Aptos" w:eastAsia="Aptos"/>
                <w:color w:val="1D252D"/>
                <w:sz w:val="16"/>
              </w:rPr>
              <w:t>8</w:t>
            </w:r>
          </w:p>
        </w:tc>
        <w:tc>
          <w:tcPr>
            <w:tcW w:type="dxa" w:w="7776"/>
            <w:shd w:fill="FFFFFF"/>
            <w:tcMar>
              <w:top w:w="80" w:type="dxa"/>
              <w:start w:w="100" w:type="dxa"/>
              <w:bottom w:w="80" w:type="dxa"/>
              <w:end w:w="100" w:type="dxa"/>
            </w:tcMar>
          </w:tcPr>
          <w:p>
            <w:r>
              <w:rPr>
                <w:rFonts w:ascii="Aptos" w:hAnsi="Aptos" w:eastAsia="Aptos"/>
                <w:color w:val="1D252D"/>
                <w:sz w:val="16"/>
              </w:rPr>
              <w:t>Accessibility, inclusion, and classroom management</w:t>
            </w:r>
          </w:p>
        </w:tc>
      </w:tr>
      <w:tr>
        <w:tc>
          <w:tcPr>
            <w:tcW w:type="dxa" w:w="1152"/>
            <w:shd w:fill="F9FBFC"/>
            <w:tcMar>
              <w:top w:w="80" w:type="dxa"/>
              <w:start w:w="100" w:type="dxa"/>
              <w:bottom w:w="80" w:type="dxa"/>
              <w:end w:w="100" w:type="dxa"/>
            </w:tcMar>
          </w:tcPr>
          <w:p>
            <w:r>
              <w:rPr>
                <w:rFonts w:ascii="Aptos" w:hAnsi="Aptos" w:eastAsia="Aptos"/>
                <w:color w:val="1D252D"/>
                <w:sz w:val="16"/>
              </w:rPr>
              <w:t>9</w:t>
            </w:r>
          </w:p>
        </w:tc>
        <w:tc>
          <w:tcPr>
            <w:tcW w:type="dxa" w:w="7776"/>
            <w:shd w:fill="F9FBFC"/>
            <w:tcMar>
              <w:top w:w="80" w:type="dxa"/>
              <w:start w:w="100" w:type="dxa"/>
              <w:bottom w:w="80" w:type="dxa"/>
              <w:end w:w="100" w:type="dxa"/>
            </w:tcMar>
          </w:tcPr>
          <w:p>
            <w:r>
              <w:rPr>
                <w:rFonts w:ascii="Aptos" w:hAnsi="Aptos" w:eastAsia="Aptos"/>
                <w:color w:val="1D252D"/>
                <w:sz w:val="16"/>
              </w:rPr>
              <w:t>Troubleshooting and reproducibility</w:t>
            </w:r>
          </w:p>
        </w:tc>
      </w:tr>
      <w:tr>
        <w:tc>
          <w:tcPr>
            <w:tcW w:type="dxa" w:w="1152"/>
            <w:shd w:fill="FFFFFF"/>
            <w:tcMar>
              <w:top w:w="80" w:type="dxa"/>
              <w:start w:w="100" w:type="dxa"/>
              <w:bottom w:w="80" w:type="dxa"/>
              <w:end w:w="100" w:type="dxa"/>
            </w:tcMar>
          </w:tcPr>
          <w:p>
            <w:r>
              <w:rPr>
                <w:rFonts w:ascii="Aptos" w:hAnsi="Aptos" w:eastAsia="Aptos"/>
                <w:color w:val="1D252D"/>
                <w:sz w:val="16"/>
              </w:rPr>
              <w:t>10</w:t>
            </w:r>
          </w:p>
        </w:tc>
        <w:tc>
          <w:tcPr>
            <w:tcW w:type="dxa" w:w="7776"/>
            <w:shd w:fill="FFFFFF"/>
            <w:tcMar>
              <w:top w:w="80" w:type="dxa"/>
              <w:start w:w="100" w:type="dxa"/>
              <w:bottom w:w="80" w:type="dxa"/>
              <w:end w:w="100" w:type="dxa"/>
            </w:tcMar>
          </w:tcPr>
          <w:p>
            <w:r>
              <w:rPr>
                <w:rFonts w:ascii="Aptos" w:hAnsi="Aptos" w:eastAsia="Aptos"/>
                <w:color w:val="1D252D"/>
                <w:sz w:val="16"/>
              </w:rPr>
              <w:t>Implementation roadmap</w:t>
            </w:r>
          </w:p>
        </w:tc>
      </w:tr>
    </w:tbl>
    <w:p>
      <w:pPr>
        <w:spacing w:after="120"/>
      </w:pPr>
    </w:p>
    <w:tbl>
      <w:tblPr>
        <w:tblW w:type="auto" w:w="0"/>
        <w:jc w:val="center"/>
        <w:tblLayout w:type="fixed"/>
        <w:tblLook w:firstColumn="1" w:firstRow="1" w:lastColumn="0" w:lastRow="0" w:noHBand="0" w:noVBand="1" w:val="04A0"/>
      </w:tblPr>
      <w:tblGrid>
        <w:gridCol w:w="173"/>
        <w:gridCol w:w="8856"/>
      </w:tblGrid>
      <w:tr>
        <w:tc>
          <w:tcPr>
            <w:tcW w:type="dxa" w:w="5184"/>
            <w:shd w:fill="1AA6A6"/>
            <w:tcMar>
              <w:top w:w="120" w:type="dxa"/>
              <w:start w:w="100" w:type="dxa"/>
              <w:bottom w:w="120" w:type="dxa"/>
              <w:end w:w="100" w:type="dxa"/>
            </w:tcMar>
            <w:tcBorders>
              <w:top w:sz="0" w:val="single" w:color="EAF7F7"/>
              <w:left w:sz="0" w:val="single" w:color="EAF7F7"/>
              <w:bottom w:sz="0" w:val="single" w:color="EAF7F7"/>
              <w:right w:sz="0" w:val="single" w:color="EAF7F7"/>
            </w:tcBorders>
            <w:vAlign w:val="center"/>
          </w:tcPr>
          <w:p/>
        </w:tc>
        <w:tc>
          <w:tcPr>
            <w:tcW w:type="dxa" w:w="5184"/>
            <w:shd w:fill="EAF7F7"/>
            <w:tcMar>
              <w:top w:w="120" w:type="dxa"/>
              <w:start w:w="100" w:type="dxa"/>
              <w:bottom w:w="120" w:type="dxa"/>
              <w:end w:w="100" w:type="dxa"/>
            </w:tcMar>
            <w:tcBorders>
              <w:top w:sz="0" w:val="single" w:color="EAF7F7"/>
              <w:left w:sz="0" w:val="single" w:color="EAF7F7"/>
              <w:bottom w:sz="0" w:val="single" w:color="EAF7F7"/>
              <w:right w:sz="0" w:val="single" w:color="EAF7F7"/>
            </w:tcBorders>
            <w:vAlign w:val="center"/>
          </w:tcPr>
          <w:p>
            <w:r>
              <w:rPr>
                <w:rFonts w:ascii="Aptos" w:hAnsi="Aptos" w:eastAsia="Aptos"/>
                <w:b/>
                <w:color w:val="12324A"/>
                <w:sz w:val="21"/>
              </w:rPr>
              <w:t>How to use this booklet</w:t>
            </w:r>
          </w:p>
          <w:p>
            <w:pPr>
              <w:spacing w:before="40" w:after="0"/>
            </w:pPr>
            <w:r>
              <w:rPr>
                <w:rFonts w:ascii="Aptos" w:hAnsi="Aptos" w:eastAsia="Aptos"/>
                <w:color w:val="1D252D"/>
                <w:sz w:val="18"/>
              </w:rPr>
              <w:t>Use it as a teacher-facing guide. The individual worksheet packages in docs/teaching/ provide student-facing step-by-step activities; this booklet explains how to teach with them.</w:t>
            </w:r>
          </w:p>
        </w:tc>
      </w:tr>
    </w:tbl>
    <w:p>
      <w:pPr>
        <w:spacing w:after="40"/>
      </w:pPr>
    </w:p>
    <w:p>
      <w:r>
        <w:br w:type="page"/>
      </w:r>
    </w:p>
    <w:p>
      <w:pPr>
        <w:spacing w:after="40"/>
      </w:pPr>
      <w:r>
        <w:rPr>
          <w:rFonts w:ascii="Aptos" w:hAnsi="Aptos" w:eastAsia="Aptos"/>
          <w:b/>
          <w:color w:val="1AA6A6"/>
          <w:sz w:val="17"/>
        </w:rPr>
        <w:t>WHY VISUAL WORKFLOWS HELP</w:t>
      </w:r>
    </w:p>
    <w:p>
      <w:pPr>
        <w:pStyle w:val="Heading1"/>
        <w:spacing w:after="200"/>
      </w:pPr>
      <w:r>
        <w:rPr>
          <w:rFonts w:ascii="Aptos" w:hAnsi="Aptos" w:eastAsia="Aptos"/>
          <w:b/>
          <w:color w:val="12324A"/>
          <w:sz w:val="48"/>
        </w:rPr>
        <w:t>1. Teaching philosophy for Orange in chemistry</w:t>
      </w:r>
    </w:p>
    <w:p>
      <w:pPr>
        <w:spacing w:after="120" w:line="259" w:lineRule="auto"/>
      </w:pPr>
      <w:r>
        <w:rPr>
          <w:rFonts w:ascii="Aptos" w:hAnsi="Aptos" w:eastAsia="Aptos"/>
          <w:color w:val="1D252D"/>
          <w:sz w:val="20"/>
        </w:rPr>
        <w:t>Orange is valuable in chemistry teaching because it makes computational workflows visible. Students can see where molecular structures enter, where preprocessing happens, how descriptors are generated, how models are trained, and where interpretation or uncertainty enters the workflow.</w:t>
      </w:r>
    </w:p>
    <w:tbl>
      <w:tblPr>
        <w:tblW w:type="auto" w:w="0"/>
        <w:jc w:val="center"/>
        <w:tblLayout w:type="fixed"/>
        <w:tblLook w:firstColumn="1" w:firstRow="1" w:lastColumn="0" w:lastRow="0" w:noHBand="0" w:noVBand="1" w:val="04A0"/>
      </w:tblPr>
      <w:tblGrid>
        <w:gridCol w:w="173"/>
        <w:gridCol w:w="8856"/>
      </w:tblGrid>
      <w:tr>
        <w:tc>
          <w:tcPr>
            <w:tcW w:type="dxa" w:w="5184"/>
            <w:shd w:fill="1AA6A6"/>
            <w:tcMar>
              <w:top w:w="120" w:type="dxa"/>
              <w:start w:w="100" w:type="dxa"/>
              <w:bottom w:w="120" w:type="dxa"/>
              <w:end w:w="100" w:type="dxa"/>
            </w:tcMar>
            <w:tcBorders>
              <w:top w:sz="0" w:val="single" w:color="EAF7F7"/>
              <w:left w:sz="0" w:val="single" w:color="EAF7F7"/>
              <w:bottom w:sz="0" w:val="single" w:color="EAF7F7"/>
              <w:right w:sz="0" w:val="single" w:color="EAF7F7"/>
            </w:tcBorders>
            <w:vAlign w:val="center"/>
          </w:tcPr>
          <w:p/>
        </w:tc>
        <w:tc>
          <w:tcPr>
            <w:tcW w:type="dxa" w:w="5184"/>
            <w:shd w:fill="EAF7F7"/>
            <w:tcMar>
              <w:top w:w="120" w:type="dxa"/>
              <w:start w:w="100" w:type="dxa"/>
              <w:bottom w:w="120" w:type="dxa"/>
              <w:end w:w="100" w:type="dxa"/>
            </w:tcMar>
            <w:tcBorders>
              <w:top w:sz="0" w:val="single" w:color="EAF7F7"/>
              <w:left w:sz="0" w:val="single" w:color="EAF7F7"/>
              <w:bottom w:sz="0" w:val="single" w:color="EAF7F7"/>
              <w:right w:sz="0" w:val="single" w:color="EAF7F7"/>
            </w:tcBorders>
            <w:vAlign w:val="center"/>
          </w:tcPr>
          <w:p>
            <w:r>
              <w:rPr>
                <w:rFonts w:ascii="Aptos" w:hAnsi="Aptos" w:eastAsia="Aptos"/>
                <w:b/>
                <w:color w:val="12324A"/>
                <w:sz w:val="21"/>
              </w:rPr>
              <w:t>Pedagogical goal</w:t>
            </w:r>
          </w:p>
          <w:p>
            <w:pPr>
              <w:spacing w:before="40" w:after="0"/>
            </w:pPr>
            <w:r>
              <w:rPr>
                <w:rFonts w:ascii="Aptos" w:hAnsi="Aptos" w:eastAsia="Aptos"/>
                <w:color w:val="1D252D"/>
                <w:sz w:val="18"/>
              </w:rPr>
              <w:t>Do not teach Orange as a menu of widgets. Teach it as a way to express chemical reasoning as a transparent data workflow.</w:t>
            </w:r>
          </w:p>
        </w:tc>
      </w:tr>
    </w:tbl>
    <w:p>
      <w:pPr>
        <w:spacing w:after="40"/>
      </w:pPr>
    </w:p>
    <w:p>
      <w:pPr>
        <w:pStyle w:val="Heading2"/>
      </w:pPr>
      <w:r>
        <w:rPr>
          <w:rFonts w:ascii="Aptos" w:hAnsi="Aptos" w:eastAsia="Aptos"/>
          <w:b/>
          <w:color w:val="12324A"/>
          <w:sz w:val="30"/>
        </w:rPr>
        <w:t>Three shifts in classroom practice</w:t>
      </w:r>
    </w:p>
    <w:tbl>
      <w:tblPr>
        <w:tblW w:type="auto" w:w="0"/>
        <w:jc w:val="center"/>
        <w:tblLayout w:type="fixed"/>
        <w:tblLook w:firstColumn="1" w:firstRow="1" w:lastColumn="0" w:lastRow="0" w:noHBand="0" w:noVBand="1" w:val="04A0"/>
      </w:tblPr>
      <w:tblGrid>
        <w:gridCol w:w="4579"/>
        <w:gridCol w:w="4579"/>
      </w:tblGrid>
      <w:tr>
        <w:tc>
          <w:tcPr>
            <w:tcW w:type="dxa" w:w="5184"/>
            <w:shd w:fill="F3F7F8"/>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From calculations to decisions</w:t>
            </w:r>
          </w:p>
          <w:p>
            <w:r>
              <w:rPr>
                <w:rFonts w:ascii="Aptos" w:hAnsi="Aptos" w:eastAsia="Aptos"/>
                <w:color w:val="1D252D"/>
                <w:sz w:val="17"/>
              </w:rPr>
              <w:t>Students should ask whether a computational result is chemically meaningful, not only whether a widget produced a table.</w:t>
            </w:r>
          </w:p>
        </w:tc>
        <w:tc>
          <w:tcPr>
            <w:tcW w:type="dxa" w:w="5184"/>
            <w:shd w:fill="F3F7F8"/>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From black boxes to evidence</w:t>
            </w:r>
          </w:p>
          <w:p>
            <w:r>
              <w:rPr>
                <w:rFonts w:ascii="Aptos" w:hAnsi="Aptos" w:eastAsia="Aptos"/>
                <w:color w:val="1D252D"/>
                <w:sz w:val="17"/>
              </w:rPr>
              <w:t>Each workflow should produce at least one interpretable output: matched motifs, scaffold summary, descriptor meaning, AD warning, or curation note.</w:t>
            </w:r>
          </w:p>
        </w:tc>
      </w:tr>
      <w:tr>
        <w:tc>
          <w:tcPr>
            <w:tcW w:type="dxa" w:w="5184"/>
            <w:shd w:fill="F3F7F8"/>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From isolated tools to pipelines</w:t>
            </w:r>
          </w:p>
          <w:p>
            <w:r>
              <w:rPr>
                <w:rFonts w:ascii="Aptos" w:hAnsi="Aptos" w:eastAsia="Aptos"/>
                <w:color w:val="1D252D"/>
                <w:sz w:val="17"/>
              </w:rPr>
              <w:t>Real cheminformatics depends on linked steps: curation, standardization, descriptors, validation, interpretation, and reporting.</w:t>
            </w:r>
          </w:p>
        </w:tc>
        <w:tc>
          <w:tcPr>
            <w:tcW w:type="dxa" w:w="5184"/>
            <w:shd w:fill="F3F7F8"/>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From correct answer to defensible method</w:t>
            </w:r>
          </w:p>
          <w:p>
            <w:r>
              <w:rPr>
                <w:rFonts w:ascii="Aptos" w:hAnsi="Aptos" w:eastAsia="Aptos"/>
                <w:color w:val="1D252D"/>
                <w:sz w:val="17"/>
              </w:rPr>
              <w:t>Students learn to justify preprocessing choices, split strategy, model selection, and limitations.</w:t>
            </w:r>
          </w:p>
        </w:tc>
      </w:tr>
    </w:tbl>
    <w:p>
      <w:pPr>
        <w:spacing w:after="100"/>
      </w:pPr>
    </w:p>
    <w:p>
      <w:pPr>
        <w:pStyle w:val="Heading2"/>
      </w:pPr>
      <w:r>
        <w:rPr>
          <w:rFonts w:ascii="Aptos" w:hAnsi="Aptos" w:eastAsia="Aptos"/>
          <w:b/>
          <w:color w:val="12324A"/>
          <w:sz w:val="30"/>
        </w:rPr>
        <w:t>Recommended learning cycle</w:t>
      </w:r>
    </w:p>
    <w:tbl>
      <w:tblPr>
        <w:tblStyle w:val="TableGrid"/>
        <w:tblW w:type="auto" w:w="0"/>
        <w:jc w:val="center"/>
        <w:tblLayout w:type="fixed"/>
        <w:tblLook w:firstColumn="1" w:firstRow="1" w:lastColumn="0" w:lastRow="0" w:noHBand="0" w:noVBand="1" w:val="04A0"/>
      </w:tblPr>
      <w:tblGrid>
        <w:gridCol w:w="1440"/>
        <w:gridCol w:w="3744"/>
        <w:gridCol w:w="3888"/>
      </w:tblGrid>
      <w:tr>
        <w:tc>
          <w:tcPr>
            <w:tcW w:type="dxa" w:w="3456"/>
            <w:shd w:fill="12324A"/>
            <w:tcMar>
              <w:top w:w="90" w:type="dxa"/>
              <w:start w:w="100" w:type="dxa"/>
              <w:bottom w:w="90" w:type="dxa"/>
              <w:end w:w="100" w:type="dxa"/>
            </w:tcMar>
          </w:tcPr>
          <w:p>
            <w:r>
              <w:rPr>
                <w:rFonts w:ascii="Aptos" w:hAnsi="Aptos" w:eastAsia="Aptos"/>
                <w:b/>
                <w:color w:val="FFFFFF"/>
                <w:sz w:val="17"/>
              </w:rPr>
              <w:t>Step</w:t>
            </w:r>
          </w:p>
        </w:tc>
        <w:tc>
          <w:tcPr>
            <w:tcW w:type="dxa" w:w="3456"/>
            <w:shd w:fill="12324A"/>
            <w:tcMar>
              <w:top w:w="90" w:type="dxa"/>
              <w:start w:w="100" w:type="dxa"/>
              <w:bottom w:w="90" w:type="dxa"/>
              <w:end w:w="100" w:type="dxa"/>
            </w:tcMar>
          </w:tcPr>
          <w:p>
            <w:r>
              <w:rPr>
                <w:rFonts w:ascii="Aptos" w:hAnsi="Aptos" w:eastAsia="Aptos"/>
                <w:b/>
                <w:color w:val="FFFFFF"/>
                <w:sz w:val="17"/>
              </w:rPr>
              <w:t>Teacher prompt</w:t>
            </w:r>
          </w:p>
        </w:tc>
        <w:tc>
          <w:tcPr>
            <w:tcW w:type="dxa" w:w="3456"/>
            <w:shd w:fill="12324A"/>
            <w:tcMar>
              <w:top w:w="90" w:type="dxa"/>
              <w:start w:w="100" w:type="dxa"/>
              <w:bottom w:w="90" w:type="dxa"/>
              <w:end w:w="100" w:type="dxa"/>
            </w:tcMar>
          </w:tcPr>
          <w:p>
            <w:r>
              <w:rPr>
                <w:rFonts w:ascii="Aptos" w:hAnsi="Aptos" w:eastAsia="Aptos"/>
                <w:b/>
                <w:color w:val="FFFFFF"/>
                <w:sz w:val="17"/>
              </w:rPr>
              <w:t>Student output</w:t>
            </w:r>
          </w:p>
        </w:tc>
      </w:tr>
      <w:tr>
        <w:tc>
          <w:tcPr>
            <w:tcW w:type="dxa" w:w="1440"/>
            <w:shd w:fill="F9FBFC"/>
            <w:tcMar>
              <w:top w:w="80" w:type="dxa"/>
              <w:start w:w="100" w:type="dxa"/>
              <w:bottom w:w="80" w:type="dxa"/>
              <w:end w:w="100" w:type="dxa"/>
            </w:tcMar>
          </w:tcPr>
          <w:p>
            <w:r>
              <w:rPr>
                <w:rFonts w:ascii="Aptos" w:hAnsi="Aptos" w:eastAsia="Aptos"/>
                <w:color w:val="1D252D"/>
                <w:sz w:val="16"/>
              </w:rPr>
              <w:t>Question</w:t>
            </w:r>
          </w:p>
        </w:tc>
        <w:tc>
          <w:tcPr>
            <w:tcW w:type="dxa" w:w="3744"/>
            <w:shd w:fill="F9FBFC"/>
            <w:tcMar>
              <w:top w:w="80" w:type="dxa"/>
              <w:start w:w="100" w:type="dxa"/>
              <w:bottom w:w="80" w:type="dxa"/>
              <w:end w:w="100" w:type="dxa"/>
            </w:tcMar>
          </w:tcPr>
          <w:p>
            <w:r>
              <w:rPr>
                <w:rFonts w:ascii="Aptos" w:hAnsi="Aptos" w:eastAsia="Aptos"/>
                <w:color w:val="1D252D"/>
                <w:sz w:val="16"/>
              </w:rPr>
              <w:t>What chemical problem are we trying to answer?</w:t>
            </w:r>
          </w:p>
        </w:tc>
        <w:tc>
          <w:tcPr>
            <w:tcW w:type="dxa" w:w="3888"/>
            <w:shd w:fill="F9FBFC"/>
            <w:tcMar>
              <w:top w:w="80" w:type="dxa"/>
              <w:start w:w="100" w:type="dxa"/>
              <w:bottom w:w="80" w:type="dxa"/>
              <w:end w:w="100" w:type="dxa"/>
            </w:tcMar>
          </w:tcPr>
          <w:p>
            <w:r>
              <w:rPr>
                <w:rFonts w:ascii="Aptos" w:hAnsi="Aptos" w:eastAsia="Aptos"/>
                <w:color w:val="1D252D"/>
                <w:sz w:val="16"/>
              </w:rPr>
              <w:t>A clear research or learning question.</w:t>
            </w:r>
          </w:p>
        </w:tc>
      </w:tr>
      <w:tr>
        <w:tc>
          <w:tcPr>
            <w:tcW w:type="dxa" w:w="1440"/>
            <w:shd w:fill="FFFFFF"/>
            <w:tcMar>
              <w:top w:w="80" w:type="dxa"/>
              <w:start w:w="100" w:type="dxa"/>
              <w:bottom w:w="80" w:type="dxa"/>
              <w:end w:w="100" w:type="dxa"/>
            </w:tcMar>
          </w:tcPr>
          <w:p>
            <w:r>
              <w:rPr>
                <w:rFonts w:ascii="Aptos" w:hAnsi="Aptos" w:eastAsia="Aptos"/>
                <w:color w:val="1D252D"/>
                <w:sz w:val="16"/>
              </w:rPr>
              <w:t>Data</w:t>
            </w:r>
          </w:p>
        </w:tc>
        <w:tc>
          <w:tcPr>
            <w:tcW w:type="dxa" w:w="3744"/>
            <w:shd w:fill="FFFFFF"/>
            <w:tcMar>
              <w:top w:w="80" w:type="dxa"/>
              <w:start w:w="100" w:type="dxa"/>
              <w:bottom w:w="80" w:type="dxa"/>
              <w:end w:w="100" w:type="dxa"/>
            </w:tcMar>
          </w:tcPr>
          <w:p>
            <w:r>
              <w:rPr>
                <w:rFonts w:ascii="Aptos" w:hAnsi="Aptos" w:eastAsia="Aptos"/>
                <w:color w:val="1D252D"/>
                <w:sz w:val="16"/>
              </w:rPr>
              <w:t>Where do the structures and activities come from?</w:t>
            </w:r>
          </w:p>
        </w:tc>
        <w:tc>
          <w:tcPr>
            <w:tcW w:type="dxa" w:w="3888"/>
            <w:shd w:fill="FFFFFF"/>
            <w:tcMar>
              <w:top w:w="80" w:type="dxa"/>
              <w:start w:w="100" w:type="dxa"/>
              <w:bottom w:w="80" w:type="dxa"/>
              <w:end w:w="100" w:type="dxa"/>
            </w:tcMar>
          </w:tcPr>
          <w:p>
            <w:r>
              <w:rPr>
                <w:rFonts w:ascii="Aptos" w:hAnsi="Aptos" w:eastAsia="Aptos"/>
                <w:color w:val="1D252D"/>
                <w:sz w:val="16"/>
              </w:rPr>
              <w:t>Dataset with provenance notes.</w:t>
            </w:r>
          </w:p>
        </w:tc>
      </w:tr>
      <w:tr>
        <w:tc>
          <w:tcPr>
            <w:tcW w:type="dxa" w:w="1440"/>
            <w:shd w:fill="F9FBFC"/>
            <w:tcMar>
              <w:top w:w="80" w:type="dxa"/>
              <w:start w:w="100" w:type="dxa"/>
              <w:bottom w:w="80" w:type="dxa"/>
              <w:end w:w="100" w:type="dxa"/>
            </w:tcMar>
          </w:tcPr>
          <w:p>
            <w:r>
              <w:rPr>
                <w:rFonts w:ascii="Aptos" w:hAnsi="Aptos" w:eastAsia="Aptos"/>
                <w:color w:val="1D252D"/>
                <w:sz w:val="16"/>
              </w:rPr>
              <w:t>Preparation</w:t>
            </w:r>
          </w:p>
        </w:tc>
        <w:tc>
          <w:tcPr>
            <w:tcW w:type="dxa" w:w="3744"/>
            <w:shd w:fill="F9FBFC"/>
            <w:tcMar>
              <w:top w:w="80" w:type="dxa"/>
              <w:start w:w="100" w:type="dxa"/>
              <w:bottom w:w="80" w:type="dxa"/>
              <w:end w:w="100" w:type="dxa"/>
            </w:tcMar>
          </w:tcPr>
          <w:p>
            <w:r>
              <w:rPr>
                <w:rFonts w:ascii="Aptos" w:hAnsi="Aptos" w:eastAsia="Aptos"/>
                <w:color w:val="1D252D"/>
                <w:sz w:val="16"/>
              </w:rPr>
              <w:t>What must be cleaned or standardized?</w:t>
            </w:r>
          </w:p>
        </w:tc>
        <w:tc>
          <w:tcPr>
            <w:tcW w:type="dxa" w:w="3888"/>
            <w:shd w:fill="F9FBFC"/>
            <w:tcMar>
              <w:top w:w="80" w:type="dxa"/>
              <w:start w:w="100" w:type="dxa"/>
              <w:bottom w:w="80" w:type="dxa"/>
              <w:end w:w="100" w:type="dxa"/>
            </w:tcMar>
          </w:tcPr>
          <w:p>
            <w:r>
              <w:rPr>
                <w:rFonts w:ascii="Aptos" w:hAnsi="Aptos" w:eastAsia="Aptos"/>
                <w:color w:val="1D252D"/>
                <w:sz w:val="16"/>
              </w:rPr>
              <w:t>Documented preprocessing choices.</w:t>
            </w:r>
          </w:p>
        </w:tc>
      </w:tr>
      <w:tr>
        <w:tc>
          <w:tcPr>
            <w:tcW w:type="dxa" w:w="1440"/>
            <w:shd w:fill="FFFFFF"/>
            <w:tcMar>
              <w:top w:w="80" w:type="dxa"/>
              <w:start w:w="100" w:type="dxa"/>
              <w:bottom w:w="80" w:type="dxa"/>
              <w:end w:w="100" w:type="dxa"/>
            </w:tcMar>
          </w:tcPr>
          <w:p>
            <w:r>
              <w:rPr>
                <w:rFonts w:ascii="Aptos" w:hAnsi="Aptos" w:eastAsia="Aptos"/>
                <w:color w:val="1D252D"/>
                <w:sz w:val="16"/>
              </w:rPr>
              <w:t>Representation</w:t>
            </w:r>
          </w:p>
        </w:tc>
        <w:tc>
          <w:tcPr>
            <w:tcW w:type="dxa" w:w="3744"/>
            <w:shd w:fill="FFFFFF"/>
            <w:tcMar>
              <w:top w:w="80" w:type="dxa"/>
              <w:start w:w="100" w:type="dxa"/>
              <w:bottom w:w="80" w:type="dxa"/>
              <w:end w:w="100" w:type="dxa"/>
            </w:tcMar>
          </w:tcPr>
          <w:p>
            <w:r>
              <w:rPr>
                <w:rFonts w:ascii="Aptos" w:hAnsi="Aptos" w:eastAsia="Aptos"/>
                <w:color w:val="1D252D"/>
                <w:sz w:val="16"/>
              </w:rPr>
              <w:t>Which descriptors or fingerprints are appropriate?</w:t>
            </w:r>
          </w:p>
        </w:tc>
        <w:tc>
          <w:tcPr>
            <w:tcW w:type="dxa" w:w="3888"/>
            <w:shd w:fill="FFFFFF"/>
            <w:tcMar>
              <w:top w:w="80" w:type="dxa"/>
              <w:start w:w="100" w:type="dxa"/>
              <w:bottom w:w="80" w:type="dxa"/>
              <w:end w:w="100" w:type="dxa"/>
            </w:tcMar>
          </w:tcPr>
          <w:p>
            <w:r>
              <w:rPr>
                <w:rFonts w:ascii="Aptos" w:hAnsi="Aptos" w:eastAsia="Aptos"/>
                <w:color w:val="1D252D"/>
                <w:sz w:val="16"/>
              </w:rPr>
              <w:t>Justified feature representation.</w:t>
            </w:r>
          </w:p>
        </w:tc>
      </w:tr>
      <w:tr>
        <w:tc>
          <w:tcPr>
            <w:tcW w:type="dxa" w:w="1440"/>
            <w:shd w:fill="F9FBFC"/>
            <w:tcMar>
              <w:top w:w="80" w:type="dxa"/>
              <w:start w:w="100" w:type="dxa"/>
              <w:bottom w:w="80" w:type="dxa"/>
              <w:end w:w="100" w:type="dxa"/>
            </w:tcMar>
          </w:tcPr>
          <w:p>
            <w:r>
              <w:rPr>
                <w:rFonts w:ascii="Aptos" w:hAnsi="Aptos" w:eastAsia="Aptos"/>
                <w:color w:val="1D252D"/>
                <w:sz w:val="16"/>
              </w:rPr>
              <w:t>Model / analysis</w:t>
            </w:r>
          </w:p>
        </w:tc>
        <w:tc>
          <w:tcPr>
            <w:tcW w:type="dxa" w:w="3744"/>
            <w:shd w:fill="F9FBFC"/>
            <w:tcMar>
              <w:top w:w="80" w:type="dxa"/>
              <w:start w:w="100" w:type="dxa"/>
              <w:bottom w:w="80" w:type="dxa"/>
              <w:end w:w="100" w:type="dxa"/>
            </w:tcMar>
          </w:tcPr>
          <w:p>
            <w:r>
              <w:rPr>
                <w:rFonts w:ascii="Aptos" w:hAnsi="Aptos" w:eastAsia="Aptos"/>
                <w:color w:val="1D252D"/>
                <w:sz w:val="16"/>
              </w:rPr>
              <w:t>Which tool answers the question?</w:t>
            </w:r>
          </w:p>
        </w:tc>
        <w:tc>
          <w:tcPr>
            <w:tcW w:type="dxa" w:w="3888"/>
            <w:shd w:fill="F9FBFC"/>
            <w:tcMar>
              <w:top w:w="80" w:type="dxa"/>
              <w:start w:w="100" w:type="dxa"/>
              <w:bottom w:w="80" w:type="dxa"/>
              <w:end w:w="100" w:type="dxa"/>
            </w:tcMar>
          </w:tcPr>
          <w:p>
            <w:r>
              <w:rPr>
                <w:rFonts w:ascii="Aptos" w:hAnsi="Aptos" w:eastAsia="Aptos"/>
                <w:color w:val="1D252D"/>
                <w:sz w:val="16"/>
              </w:rPr>
              <w:t>Model, visualization, search, or summary.</w:t>
            </w:r>
          </w:p>
        </w:tc>
      </w:tr>
      <w:tr>
        <w:tc>
          <w:tcPr>
            <w:tcW w:type="dxa" w:w="1440"/>
            <w:shd w:fill="FFFFFF"/>
            <w:tcMar>
              <w:top w:w="80" w:type="dxa"/>
              <w:start w:w="100" w:type="dxa"/>
              <w:bottom w:w="80" w:type="dxa"/>
              <w:end w:w="100" w:type="dxa"/>
            </w:tcMar>
          </w:tcPr>
          <w:p>
            <w:r>
              <w:rPr>
                <w:rFonts w:ascii="Aptos" w:hAnsi="Aptos" w:eastAsia="Aptos"/>
                <w:color w:val="1D252D"/>
                <w:sz w:val="16"/>
              </w:rPr>
              <w:t>Interpretation</w:t>
            </w:r>
          </w:p>
        </w:tc>
        <w:tc>
          <w:tcPr>
            <w:tcW w:type="dxa" w:w="3744"/>
            <w:shd w:fill="FFFFFF"/>
            <w:tcMar>
              <w:top w:w="80" w:type="dxa"/>
              <w:start w:w="100" w:type="dxa"/>
              <w:bottom w:w="80" w:type="dxa"/>
              <w:end w:w="100" w:type="dxa"/>
            </w:tcMar>
          </w:tcPr>
          <w:p>
            <w:r>
              <w:rPr>
                <w:rFonts w:ascii="Aptos" w:hAnsi="Aptos" w:eastAsia="Aptos"/>
                <w:color w:val="1D252D"/>
                <w:sz w:val="16"/>
              </w:rPr>
              <w:t>What chemical insight did we gain?</w:t>
            </w:r>
          </w:p>
        </w:tc>
        <w:tc>
          <w:tcPr>
            <w:tcW w:type="dxa" w:w="3888"/>
            <w:shd w:fill="FFFFFF"/>
            <w:tcMar>
              <w:top w:w="80" w:type="dxa"/>
              <w:start w:w="100" w:type="dxa"/>
              <w:bottom w:w="80" w:type="dxa"/>
              <w:end w:w="100" w:type="dxa"/>
            </w:tcMar>
          </w:tcPr>
          <w:p>
            <w:r>
              <w:rPr>
                <w:rFonts w:ascii="Aptos" w:hAnsi="Aptos" w:eastAsia="Aptos"/>
                <w:color w:val="1D252D"/>
                <w:sz w:val="16"/>
              </w:rPr>
              <w:t>Evidence-based explanation.</w:t>
            </w:r>
          </w:p>
        </w:tc>
      </w:tr>
      <w:tr>
        <w:tc>
          <w:tcPr>
            <w:tcW w:type="dxa" w:w="1440"/>
            <w:shd w:fill="F9FBFC"/>
            <w:tcMar>
              <w:top w:w="80" w:type="dxa"/>
              <w:start w:w="100" w:type="dxa"/>
              <w:bottom w:w="80" w:type="dxa"/>
              <w:end w:w="100" w:type="dxa"/>
            </w:tcMar>
          </w:tcPr>
          <w:p>
            <w:r>
              <w:rPr>
                <w:rFonts w:ascii="Aptos" w:hAnsi="Aptos" w:eastAsia="Aptos"/>
                <w:color w:val="1D252D"/>
                <w:sz w:val="16"/>
              </w:rPr>
              <w:t>Limits</w:t>
            </w:r>
          </w:p>
        </w:tc>
        <w:tc>
          <w:tcPr>
            <w:tcW w:type="dxa" w:w="3744"/>
            <w:shd w:fill="F9FBFC"/>
            <w:tcMar>
              <w:top w:w="80" w:type="dxa"/>
              <w:start w:w="100" w:type="dxa"/>
              <w:bottom w:w="80" w:type="dxa"/>
              <w:end w:w="100" w:type="dxa"/>
            </w:tcMar>
          </w:tcPr>
          <w:p>
            <w:r>
              <w:rPr>
                <w:rFonts w:ascii="Aptos" w:hAnsi="Aptos" w:eastAsia="Aptos"/>
                <w:color w:val="1D252D"/>
                <w:sz w:val="16"/>
              </w:rPr>
              <w:t>Where should we not trust the result?</w:t>
            </w:r>
          </w:p>
        </w:tc>
        <w:tc>
          <w:tcPr>
            <w:tcW w:type="dxa" w:w="3888"/>
            <w:shd w:fill="F9FBFC"/>
            <w:tcMar>
              <w:top w:w="80" w:type="dxa"/>
              <w:start w:w="100" w:type="dxa"/>
              <w:bottom w:w="80" w:type="dxa"/>
              <w:end w:w="100" w:type="dxa"/>
            </w:tcMar>
          </w:tcPr>
          <w:p>
            <w:r>
              <w:rPr>
                <w:rFonts w:ascii="Aptos" w:hAnsi="Aptos" w:eastAsia="Aptos"/>
                <w:color w:val="1D252D"/>
                <w:sz w:val="16"/>
              </w:rPr>
              <w:t>Applicability/domain/uncertainty statement.</w:t>
            </w:r>
          </w:p>
        </w:tc>
      </w:tr>
    </w:tbl>
    <w:p>
      <w:pPr>
        <w:spacing w:after="120"/>
      </w:pPr>
    </w:p>
    <w:p>
      <w:pPr>
        <w:spacing w:after="40"/>
      </w:pPr>
      <w:r>
        <w:rPr>
          <w:rFonts w:ascii="Aptos" w:hAnsi="Aptos" w:eastAsia="Aptos"/>
          <w:b/>
          <w:color w:val="1AA6A6"/>
          <w:sz w:val="17"/>
        </w:rPr>
        <w:t>TPACK, BLOOM, SAMR</w:t>
      </w:r>
    </w:p>
    <w:p>
      <w:pPr>
        <w:pStyle w:val="Heading1"/>
        <w:spacing w:after="200"/>
      </w:pPr>
      <w:r>
        <w:rPr>
          <w:rFonts w:ascii="Aptos" w:hAnsi="Aptos" w:eastAsia="Aptos"/>
          <w:b/>
          <w:color w:val="12324A"/>
          <w:sz w:val="48"/>
        </w:rPr>
        <w:t>2. Learning design principles</w:t>
      </w:r>
    </w:p>
    <w:p>
      <w:pPr>
        <w:spacing w:after="120" w:line="259" w:lineRule="auto"/>
      </w:pPr>
      <w:r>
        <w:rPr>
          <w:rFonts w:ascii="Aptos" w:hAnsi="Aptos" w:eastAsia="Aptos"/>
          <w:color w:val="1D252D"/>
          <w:sz w:val="20"/>
        </w:rPr>
        <w:t>A strong Orange activity combines chemical content knowledge, pedagogical structure, and technological affordances. The tool should not replace chemistry; it should expose chemical assumptions and support reasoning.</w:t>
      </w:r>
    </w:p>
    <w:p>
      <w:pPr>
        <w:pStyle w:val="Heading2"/>
      </w:pPr>
      <w:r>
        <w:rPr>
          <w:rFonts w:ascii="Aptos" w:hAnsi="Aptos" w:eastAsia="Aptos"/>
          <w:b/>
          <w:color w:val="12324A"/>
          <w:sz w:val="30"/>
        </w:rPr>
        <w:t>TPACK alignment</w:t>
      </w:r>
    </w:p>
    <w:tbl>
      <w:tblPr>
        <w:tblStyle w:val="TableGrid"/>
        <w:tblW w:type="auto" w:w="0"/>
        <w:jc w:val="center"/>
        <w:tblLayout w:type="fixed"/>
        <w:tblLook w:firstColumn="1" w:firstRow="1" w:lastColumn="0" w:lastRow="0" w:noHBand="0" w:noVBand="1" w:val="04A0"/>
      </w:tblPr>
      <w:tblGrid>
        <w:gridCol w:w="2448"/>
        <w:gridCol w:w="6768"/>
      </w:tblGrid>
      <w:tr>
        <w:tc>
          <w:tcPr>
            <w:tcW w:type="dxa" w:w="5184"/>
            <w:shd w:fill="12324A"/>
            <w:tcMar>
              <w:top w:w="90" w:type="dxa"/>
              <w:start w:w="100" w:type="dxa"/>
              <w:bottom w:w="90" w:type="dxa"/>
              <w:end w:w="100" w:type="dxa"/>
            </w:tcMar>
          </w:tcPr>
          <w:p>
            <w:r>
              <w:rPr>
                <w:rFonts w:ascii="Aptos" w:hAnsi="Aptos" w:eastAsia="Aptos"/>
                <w:b/>
                <w:color w:val="FFFFFF"/>
                <w:sz w:val="17"/>
              </w:rPr>
              <w:t>Dimension</w:t>
            </w:r>
          </w:p>
        </w:tc>
        <w:tc>
          <w:tcPr>
            <w:tcW w:type="dxa" w:w="5184"/>
            <w:shd w:fill="12324A"/>
            <w:tcMar>
              <w:top w:w="90" w:type="dxa"/>
              <w:start w:w="100" w:type="dxa"/>
              <w:bottom w:w="90" w:type="dxa"/>
              <w:end w:w="100" w:type="dxa"/>
            </w:tcMar>
          </w:tcPr>
          <w:p>
            <w:r>
              <w:rPr>
                <w:rFonts w:ascii="Aptos" w:hAnsi="Aptos" w:eastAsia="Aptos"/>
                <w:b/>
                <w:color w:val="FFFFFF"/>
                <w:sz w:val="17"/>
              </w:rPr>
              <w:t>In chemistry teaching with Orange</w:t>
            </w:r>
          </w:p>
        </w:tc>
      </w:tr>
      <w:tr>
        <w:tc>
          <w:tcPr>
            <w:tcW w:type="dxa" w:w="2448"/>
            <w:shd w:fill="F9FBFC"/>
            <w:tcMar>
              <w:top w:w="80" w:type="dxa"/>
              <w:start w:w="100" w:type="dxa"/>
              <w:bottom w:w="80" w:type="dxa"/>
              <w:end w:w="100" w:type="dxa"/>
            </w:tcMar>
          </w:tcPr>
          <w:p>
            <w:r>
              <w:rPr>
                <w:rFonts w:ascii="Aptos" w:hAnsi="Aptos" w:eastAsia="Aptos"/>
                <w:color w:val="1D252D"/>
                <w:sz w:val="16"/>
              </w:rPr>
              <w:t>Content knowledge</w:t>
            </w:r>
          </w:p>
        </w:tc>
        <w:tc>
          <w:tcPr>
            <w:tcW w:type="dxa" w:w="6768"/>
            <w:shd w:fill="F9FBFC"/>
            <w:tcMar>
              <w:top w:w="80" w:type="dxa"/>
              <w:start w:w="100" w:type="dxa"/>
              <w:bottom w:w="80" w:type="dxa"/>
              <w:end w:w="100" w:type="dxa"/>
            </w:tcMar>
          </w:tcPr>
          <w:p>
            <w:r>
              <w:rPr>
                <w:rFonts w:ascii="Aptos" w:hAnsi="Aptos" w:eastAsia="Aptos"/>
                <w:color w:val="1D252D"/>
                <w:sz w:val="16"/>
              </w:rPr>
              <w:t>Molecular structures, activity data, descriptors, scaffolds, fingerprints, QSAR, AD, and chemical interpretation.</w:t>
            </w:r>
          </w:p>
        </w:tc>
      </w:tr>
      <w:tr>
        <w:tc>
          <w:tcPr>
            <w:tcW w:type="dxa" w:w="2448"/>
            <w:shd w:fill="FFFFFF"/>
            <w:tcMar>
              <w:top w:w="80" w:type="dxa"/>
              <w:start w:w="100" w:type="dxa"/>
              <w:bottom w:w="80" w:type="dxa"/>
              <w:end w:w="100" w:type="dxa"/>
            </w:tcMar>
          </w:tcPr>
          <w:p>
            <w:r>
              <w:rPr>
                <w:rFonts w:ascii="Aptos" w:hAnsi="Aptos" w:eastAsia="Aptos"/>
                <w:color w:val="1D252D"/>
                <w:sz w:val="16"/>
              </w:rPr>
              <w:t>Pedagogical knowledge</w:t>
            </w:r>
          </w:p>
        </w:tc>
        <w:tc>
          <w:tcPr>
            <w:tcW w:type="dxa" w:w="6768"/>
            <w:shd w:fill="FFFFFF"/>
            <w:tcMar>
              <w:top w:w="80" w:type="dxa"/>
              <w:start w:w="100" w:type="dxa"/>
              <w:bottom w:w="80" w:type="dxa"/>
              <w:end w:w="100" w:type="dxa"/>
            </w:tcMar>
          </w:tcPr>
          <w:p>
            <w:r>
              <w:rPr>
                <w:rFonts w:ascii="Aptos" w:hAnsi="Aptos" w:eastAsia="Aptos"/>
                <w:color w:val="1D252D"/>
                <w:sz w:val="16"/>
              </w:rPr>
              <w:t>Inquiry prompts, scaffolded worksheets, peer discussion, prediction-before-computation, reflection.</w:t>
            </w:r>
          </w:p>
        </w:tc>
      </w:tr>
      <w:tr>
        <w:tc>
          <w:tcPr>
            <w:tcW w:type="dxa" w:w="2448"/>
            <w:shd w:fill="F9FBFC"/>
            <w:tcMar>
              <w:top w:w="80" w:type="dxa"/>
              <w:start w:w="100" w:type="dxa"/>
              <w:bottom w:w="80" w:type="dxa"/>
              <w:end w:w="100" w:type="dxa"/>
            </w:tcMar>
          </w:tcPr>
          <w:p>
            <w:r>
              <w:rPr>
                <w:rFonts w:ascii="Aptos" w:hAnsi="Aptos" w:eastAsia="Aptos"/>
                <w:color w:val="1D252D"/>
                <w:sz w:val="16"/>
              </w:rPr>
              <w:t>Technological knowledge</w:t>
            </w:r>
          </w:p>
        </w:tc>
        <w:tc>
          <w:tcPr>
            <w:tcW w:type="dxa" w:w="6768"/>
            <w:shd w:fill="F9FBFC"/>
            <w:tcMar>
              <w:top w:w="80" w:type="dxa"/>
              <w:start w:w="100" w:type="dxa"/>
              <w:bottom w:w="80" w:type="dxa"/>
              <w:end w:w="100" w:type="dxa"/>
            </w:tcMar>
          </w:tcPr>
          <w:p>
            <w:r>
              <w:rPr>
                <w:rFonts w:ascii="Aptos" w:hAnsi="Aptos" w:eastAsia="Aptos"/>
                <w:color w:val="1D252D"/>
                <w:sz w:val="16"/>
              </w:rPr>
              <w:t>Orange widgets, RDKit-backed calculations, tables, workflows, visualization, exports.</w:t>
            </w:r>
          </w:p>
        </w:tc>
      </w:tr>
      <w:tr>
        <w:tc>
          <w:tcPr>
            <w:tcW w:type="dxa" w:w="2448"/>
            <w:shd w:fill="FFFFFF"/>
            <w:tcMar>
              <w:top w:w="80" w:type="dxa"/>
              <w:start w:w="100" w:type="dxa"/>
              <w:bottom w:w="80" w:type="dxa"/>
              <w:end w:w="100" w:type="dxa"/>
            </w:tcMar>
          </w:tcPr>
          <w:p>
            <w:r>
              <w:rPr>
                <w:rFonts w:ascii="Aptos" w:hAnsi="Aptos" w:eastAsia="Aptos"/>
                <w:color w:val="1D252D"/>
                <w:sz w:val="16"/>
              </w:rPr>
              <w:t>Integrated TPACK</w:t>
            </w:r>
          </w:p>
        </w:tc>
        <w:tc>
          <w:tcPr>
            <w:tcW w:type="dxa" w:w="6768"/>
            <w:shd w:fill="FFFFFF"/>
            <w:tcMar>
              <w:top w:w="80" w:type="dxa"/>
              <w:start w:w="100" w:type="dxa"/>
              <w:bottom w:w="80" w:type="dxa"/>
              <w:end w:w="100" w:type="dxa"/>
            </w:tcMar>
          </w:tcPr>
          <w:p>
            <w:r>
              <w:rPr>
                <w:rFonts w:ascii="Aptos" w:hAnsi="Aptos" w:eastAsia="Aptos"/>
                <w:color w:val="1D252D"/>
                <w:sz w:val="16"/>
              </w:rPr>
              <w:t>Students use computational workflows to answer chemical questions and justify methodological decisions.</w:t>
            </w:r>
          </w:p>
        </w:tc>
      </w:tr>
    </w:tbl>
    <w:p>
      <w:pPr>
        <w:spacing w:after="120"/>
      </w:pPr>
    </w:p>
    <w:p>
      <w:pPr>
        <w:pStyle w:val="Heading2"/>
      </w:pPr>
      <w:r>
        <w:rPr>
          <w:rFonts w:ascii="Aptos" w:hAnsi="Aptos" w:eastAsia="Aptos"/>
          <w:b/>
          <w:color w:val="12324A"/>
          <w:sz w:val="30"/>
        </w:rPr>
        <w:t>Bloom progression</w:t>
      </w:r>
    </w:p>
    <w:tbl>
      <w:tblPr>
        <w:tblStyle w:val="TableGrid"/>
        <w:tblW w:type="auto" w:w="0"/>
        <w:jc w:val="center"/>
        <w:tblLayout w:type="fixed"/>
        <w:tblLook w:firstColumn="1" w:firstRow="1" w:lastColumn="0" w:lastRow="0" w:noHBand="0" w:noVBand="1" w:val="04A0"/>
      </w:tblPr>
      <w:tblGrid>
        <w:gridCol w:w="2016"/>
        <w:gridCol w:w="7200"/>
      </w:tblGrid>
      <w:tr>
        <w:tc>
          <w:tcPr>
            <w:tcW w:type="dxa" w:w="5184"/>
            <w:shd w:fill="12324A"/>
            <w:tcMar>
              <w:top w:w="90" w:type="dxa"/>
              <w:start w:w="100" w:type="dxa"/>
              <w:bottom w:w="90" w:type="dxa"/>
              <w:end w:w="100" w:type="dxa"/>
            </w:tcMar>
          </w:tcPr>
          <w:p>
            <w:r>
              <w:rPr>
                <w:rFonts w:ascii="Aptos" w:hAnsi="Aptos" w:eastAsia="Aptos"/>
                <w:b/>
                <w:color w:val="FFFFFF"/>
                <w:sz w:val="17"/>
              </w:rPr>
              <w:t>Bloom level</w:t>
            </w:r>
          </w:p>
        </w:tc>
        <w:tc>
          <w:tcPr>
            <w:tcW w:type="dxa" w:w="5184"/>
            <w:shd w:fill="12324A"/>
            <w:tcMar>
              <w:top w:w="90" w:type="dxa"/>
              <w:start w:w="100" w:type="dxa"/>
              <w:bottom w:w="90" w:type="dxa"/>
              <w:end w:w="100" w:type="dxa"/>
            </w:tcMar>
          </w:tcPr>
          <w:p>
            <w:r>
              <w:rPr>
                <w:rFonts w:ascii="Aptos" w:hAnsi="Aptos" w:eastAsia="Aptos"/>
                <w:b/>
                <w:color w:val="FFFFFF"/>
                <w:sz w:val="17"/>
              </w:rPr>
              <w:t>Example task</w:t>
            </w:r>
          </w:p>
        </w:tc>
      </w:tr>
      <w:tr>
        <w:tc>
          <w:tcPr>
            <w:tcW w:type="dxa" w:w="2016"/>
            <w:shd w:fill="F9FBFC"/>
            <w:tcMar>
              <w:top w:w="80" w:type="dxa"/>
              <w:start w:w="100" w:type="dxa"/>
              <w:bottom w:w="80" w:type="dxa"/>
              <w:end w:w="100" w:type="dxa"/>
            </w:tcMar>
          </w:tcPr>
          <w:p>
            <w:r>
              <w:rPr>
                <w:rFonts w:ascii="Aptos" w:hAnsi="Aptos" w:eastAsia="Aptos"/>
                <w:color w:val="1D252D"/>
                <w:sz w:val="16"/>
              </w:rPr>
              <w:t>Remember</w:t>
            </w:r>
          </w:p>
        </w:tc>
        <w:tc>
          <w:tcPr>
            <w:tcW w:type="dxa" w:w="7200"/>
            <w:shd w:fill="F9FBFC"/>
            <w:tcMar>
              <w:top w:w="80" w:type="dxa"/>
              <w:start w:w="100" w:type="dxa"/>
              <w:bottom w:w="80" w:type="dxa"/>
              <w:end w:w="100" w:type="dxa"/>
            </w:tcMar>
          </w:tcPr>
          <w:p>
            <w:r>
              <w:rPr>
                <w:rFonts w:ascii="Aptos" w:hAnsi="Aptos" w:eastAsia="Aptos"/>
                <w:color w:val="1D252D"/>
                <w:sz w:val="16"/>
              </w:rPr>
              <w:t>List common heterocycles or descriptor families.</w:t>
            </w:r>
          </w:p>
        </w:tc>
      </w:tr>
      <w:tr>
        <w:tc>
          <w:tcPr>
            <w:tcW w:type="dxa" w:w="2016"/>
            <w:shd w:fill="FFFFFF"/>
            <w:tcMar>
              <w:top w:w="80" w:type="dxa"/>
              <w:start w:w="100" w:type="dxa"/>
              <w:bottom w:w="80" w:type="dxa"/>
              <w:end w:w="100" w:type="dxa"/>
            </w:tcMar>
          </w:tcPr>
          <w:p>
            <w:r>
              <w:rPr>
                <w:rFonts w:ascii="Aptos" w:hAnsi="Aptos" w:eastAsia="Aptos"/>
                <w:color w:val="1D252D"/>
                <w:sz w:val="16"/>
              </w:rPr>
              <w:t>Understand</w:t>
            </w:r>
          </w:p>
        </w:tc>
        <w:tc>
          <w:tcPr>
            <w:tcW w:type="dxa" w:w="7200"/>
            <w:shd w:fill="FFFFFF"/>
            <w:tcMar>
              <w:top w:w="80" w:type="dxa"/>
              <w:start w:w="100" w:type="dxa"/>
              <w:bottom w:w="80" w:type="dxa"/>
              <w:end w:w="100" w:type="dxa"/>
            </w:tcMar>
          </w:tcPr>
          <w:p>
            <w:r>
              <w:rPr>
                <w:rFonts w:ascii="Aptos" w:hAnsi="Aptos" w:eastAsia="Aptos"/>
                <w:color w:val="1D252D"/>
                <w:sz w:val="16"/>
              </w:rPr>
              <w:t>Explain why standardization changes downstream fingerprints.</w:t>
            </w:r>
          </w:p>
        </w:tc>
      </w:tr>
      <w:tr>
        <w:tc>
          <w:tcPr>
            <w:tcW w:type="dxa" w:w="2016"/>
            <w:shd w:fill="F9FBFC"/>
            <w:tcMar>
              <w:top w:w="80" w:type="dxa"/>
              <w:start w:w="100" w:type="dxa"/>
              <w:bottom w:w="80" w:type="dxa"/>
              <w:end w:w="100" w:type="dxa"/>
            </w:tcMar>
          </w:tcPr>
          <w:p>
            <w:r>
              <w:rPr>
                <w:rFonts w:ascii="Aptos" w:hAnsi="Aptos" w:eastAsia="Aptos"/>
                <w:color w:val="1D252D"/>
                <w:sz w:val="16"/>
              </w:rPr>
              <w:t>Apply</w:t>
            </w:r>
          </w:p>
        </w:tc>
        <w:tc>
          <w:tcPr>
            <w:tcW w:type="dxa" w:w="7200"/>
            <w:shd w:fill="F9FBFC"/>
            <w:tcMar>
              <w:top w:w="80" w:type="dxa"/>
              <w:start w:w="100" w:type="dxa"/>
              <w:bottom w:w="80" w:type="dxa"/>
              <w:end w:w="100" w:type="dxa"/>
            </w:tcMar>
          </w:tcPr>
          <w:p>
            <w:r>
              <w:rPr>
                <w:rFonts w:ascii="Aptos" w:hAnsi="Aptos" w:eastAsia="Aptos"/>
                <w:color w:val="1D252D"/>
                <w:sz w:val="16"/>
              </w:rPr>
              <w:t>Build a workflow to compute descriptors and train a QSAR model.</w:t>
            </w:r>
          </w:p>
        </w:tc>
      </w:tr>
      <w:tr>
        <w:tc>
          <w:tcPr>
            <w:tcW w:type="dxa" w:w="2016"/>
            <w:shd w:fill="FFFFFF"/>
            <w:tcMar>
              <w:top w:w="80" w:type="dxa"/>
              <w:start w:w="100" w:type="dxa"/>
              <w:bottom w:w="80" w:type="dxa"/>
              <w:end w:w="100" w:type="dxa"/>
            </w:tcMar>
          </w:tcPr>
          <w:p>
            <w:r>
              <w:rPr>
                <w:rFonts w:ascii="Aptos" w:hAnsi="Aptos" w:eastAsia="Aptos"/>
                <w:color w:val="1D252D"/>
                <w:sz w:val="16"/>
              </w:rPr>
              <w:t>Analyze</w:t>
            </w:r>
          </w:p>
        </w:tc>
        <w:tc>
          <w:tcPr>
            <w:tcW w:type="dxa" w:w="7200"/>
            <w:shd w:fill="FFFFFF"/>
            <w:tcMar>
              <w:top w:w="80" w:type="dxa"/>
              <w:start w:w="100" w:type="dxa"/>
              <w:bottom w:w="80" w:type="dxa"/>
              <w:end w:w="100" w:type="dxa"/>
            </w:tcMar>
          </w:tcPr>
          <w:p>
            <w:r>
              <w:rPr>
                <w:rFonts w:ascii="Aptos" w:hAnsi="Aptos" w:eastAsia="Aptos"/>
                <w:color w:val="1D252D"/>
                <w:sz w:val="16"/>
              </w:rPr>
              <w:t>Compare random split and scaffold split performance.</w:t>
            </w:r>
          </w:p>
        </w:tc>
      </w:tr>
      <w:tr>
        <w:tc>
          <w:tcPr>
            <w:tcW w:type="dxa" w:w="2016"/>
            <w:shd w:fill="F9FBFC"/>
            <w:tcMar>
              <w:top w:w="80" w:type="dxa"/>
              <w:start w:w="100" w:type="dxa"/>
              <w:bottom w:w="80" w:type="dxa"/>
              <w:end w:w="100" w:type="dxa"/>
            </w:tcMar>
          </w:tcPr>
          <w:p>
            <w:r>
              <w:rPr>
                <w:rFonts w:ascii="Aptos" w:hAnsi="Aptos" w:eastAsia="Aptos"/>
                <w:color w:val="1D252D"/>
                <w:sz w:val="16"/>
              </w:rPr>
              <w:t>Evaluate</w:t>
            </w:r>
          </w:p>
        </w:tc>
        <w:tc>
          <w:tcPr>
            <w:tcW w:type="dxa" w:w="7200"/>
            <w:shd w:fill="F9FBFC"/>
            <w:tcMar>
              <w:top w:w="80" w:type="dxa"/>
              <w:start w:w="100" w:type="dxa"/>
              <w:bottom w:w="80" w:type="dxa"/>
              <w:end w:w="100" w:type="dxa"/>
            </w:tcMar>
          </w:tcPr>
          <w:p>
            <w:r>
              <w:rPr>
                <w:rFonts w:ascii="Aptos" w:hAnsi="Aptos" w:eastAsia="Aptos"/>
                <w:color w:val="1D252D"/>
                <w:sz w:val="16"/>
              </w:rPr>
              <w:t>Judge whether a prediction lies inside the applicability domain.</w:t>
            </w:r>
          </w:p>
        </w:tc>
      </w:tr>
      <w:tr>
        <w:tc>
          <w:tcPr>
            <w:tcW w:type="dxa" w:w="2016"/>
            <w:shd w:fill="FFFFFF"/>
            <w:tcMar>
              <w:top w:w="80" w:type="dxa"/>
              <w:start w:w="100" w:type="dxa"/>
              <w:bottom w:w="80" w:type="dxa"/>
              <w:end w:w="100" w:type="dxa"/>
            </w:tcMar>
          </w:tcPr>
          <w:p>
            <w:r>
              <w:rPr>
                <w:rFonts w:ascii="Aptos" w:hAnsi="Aptos" w:eastAsia="Aptos"/>
                <w:color w:val="1D252D"/>
                <w:sz w:val="16"/>
              </w:rPr>
              <w:t>Create</w:t>
            </w:r>
          </w:p>
        </w:tc>
        <w:tc>
          <w:tcPr>
            <w:tcW w:type="dxa" w:w="7200"/>
            <w:shd w:fill="FFFFFF"/>
            <w:tcMar>
              <w:top w:w="80" w:type="dxa"/>
              <w:start w:w="100" w:type="dxa"/>
              <w:bottom w:w="80" w:type="dxa"/>
              <w:end w:w="100" w:type="dxa"/>
            </w:tcMar>
          </w:tcPr>
          <w:p>
            <w:r>
              <w:rPr>
                <w:rFonts w:ascii="Aptos" w:hAnsi="Aptos" w:eastAsia="Aptos"/>
                <w:color w:val="1D252D"/>
                <w:sz w:val="16"/>
              </w:rPr>
              <w:t>Design a complete reproducible cheminformatics workflow for a new dataset.</w:t>
            </w:r>
          </w:p>
        </w:tc>
      </w:tr>
    </w:tbl>
    <w:p>
      <w:pPr>
        <w:spacing w:after="120"/>
      </w:pPr>
    </w:p>
    <w:p>
      <w:pPr>
        <w:pStyle w:val="Heading2"/>
      </w:pPr>
      <w:r>
        <w:rPr>
          <w:rFonts w:ascii="Aptos" w:hAnsi="Aptos" w:eastAsia="Aptos"/>
          <w:b/>
          <w:color w:val="12324A"/>
          <w:sz w:val="30"/>
        </w:rPr>
        <w:t>SAMR progression</w:t>
      </w:r>
    </w:p>
    <w:tbl>
      <w:tblPr>
        <w:tblW w:type="auto" w:w="0"/>
        <w:jc w:val="center"/>
        <w:tblLayout w:type="fixed"/>
        <w:tblLook w:firstColumn="1" w:firstRow="1" w:lastColumn="0" w:lastRow="0" w:noHBand="0" w:noVBand="1" w:val="04A0"/>
      </w:tblPr>
      <w:tblGrid>
        <w:gridCol w:w="4579"/>
        <w:gridCol w:w="4579"/>
      </w:tblGrid>
      <w:tr>
        <w:tc>
          <w:tcPr>
            <w:tcW w:type="dxa" w:w="5184"/>
            <w:shd w:fill="F4F6FA"/>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Substitution</w:t>
            </w:r>
          </w:p>
          <w:p>
            <w:r>
              <w:rPr>
                <w:rFonts w:ascii="Aptos" w:hAnsi="Aptos" w:eastAsia="Aptos"/>
                <w:color w:val="1D252D"/>
                <w:sz w:val="17"/>
              </w:rPr>
              <w:t>Use Orange instead of a spreadsheet formula to calculate descriptors.</w:t>
            </w:r>
          </w:p>
        </w:tc>
        <w:tc>
          <w:tcPr>
            <w:tcW w:type="dxa" w:w="5184"/>
            <w:shd w:fill="EAF7F7"/>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Augmentation</w:t>
            </w:r>
          </w:p>
          <w:p>
            <w:r>
              <w:rPr>
                <w:rFonts w:ascii="Aptos" w:hAnsi="Aptos" w:eastAsia="Aptos"/>
                <w:color w:val="1D252D"/>
                <w:sz w:val="17"/>
              </w:rPr>
              <w:t>Automatically track matched motifs, failed structures, and output provenance.</w:t>
            </w:r>
          </w:p>
        </w:tc>
      </w:tr>
      <w:tr>
        <w:tc>
          <w:tcPr>
            <w:tcW w:type="dxa" w:w="5184"/>
            <w:shd w:fill="FFF3E6"/>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Modification</w:t>
            </w:r>
          </w:p>
          <w:p>
            <w:r>
              <w:rPr>
                <w:rFonts w:ascii="Aptos" w:hAnsi="Aptos" w:eastAsia="Aptos"/>
                <w:color w:val="1D252D"/>
                <w:sz w:val="17"/>
              </w:rPr>
              <w:t>Students compare multiple pipelines and interpret model reliability.</w:t>
            </w:r>
          </w:p>
        </w:tc>
        <w:tc>
          <w:tcPr>
            <w:tcW w:type="dxa" w:w="5184"/>
            <w:shd w:fill="EEF7EE"/>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Redefinition</w:t>
            </w:r>
          </w:p>
          <w:p>
            <w:r>
              <w:rPr>
                <w:rFonts w:ascii="Aptos" w:hAnsi="Aptos" w:eastAsia="Aptos"/>
                <w:color w:val="1D252D"/>
                <w:sz w:val="17"/>
              </w:rPr>
              <w:t>Students design a publishable, reproducible cheminformatics investigation.</w:t>
            </w:r>
          </w:p>
        </w:tc>
      </w:tr>
    </w:tbl>
    <w:p>
      <w:pPr>
        <w:spacing w:after="100"/>
      </w:pPr>
    </w:p>
    <w:p>
      <w:pPr>
        <w:spacing w:after="40"/>
      </w:pPr>
      <w:r>
        <w:rPr>
          <w:rFonts w:ascii="Aptos" w:hAnsi="Aptos" w:eastAsia="Aptos"/>
          <w:b/>
          <w:color w:val="1AA6A6"/>
          <w:sz w:val="17"/>
        </w:rPr>
        <w:t>REUSABLE SESSION DESIGN</w:t>
      </w:r>
    </w:p>
    <w:p>
      <w:pPr>
        <w:pStyle w:val="Heading1"/>
        <w:spacing w:after="200"/>
      </w:pPr>
      <w:r>
        <w:rPr>
          <w:rFonts w:ascii="Aptos" w:hAnsi="Aptos" w:eastAsia="Aptos"/>
          <w:b/>
          <w:color w:val="12324A"/>
          <w:sz w:val="48"/>
        </w:rPr>
        <w:t>3. Modern lesson architecture</w:t>
      </w:r>
    </w:p>
    <w:p>
      <w:pPr>
        <w:spacing w:after="120" w:line="259" w:lineRule="auto"/>
      </w:pPr>
      <w:r>
        <w:rPr>
          <w:rFonts w:ascii="Aptos" w:hAnsi="Aptos" w:eastAsia="Aptos"/>
          <w:color w:val="1D252D"/>
          <w:sz w:val="20"/>
        </w:rPr>
        <w:t>The most effective sessions use a consistent lesson architecture. This reduces cognitive load and lets students focus on chemistry rather than software navigation.</w:t>
      </w:r>
    </w:p>
    <w:p>
      <w:pPr>
        <w:pStyle w:val="Heading2"/>
      </w:pPr>
      <w:r>
        <w:rPr>
          <w:rFonts w:ascii="Aptos" w:hAnsi="Aptos" w:eastAsia="Aptos"/>
          <w:b/>
          <w:color w:val="12324A"/>
          <w:sz w:val="30"/>
        </w:rPr>
        <w:t>The 75-minute practical session template</w:t>
      </w:r>
    </w:p>
    <w:tbl>
      <w:tblPr>
        <w:tblStyle w:val="TableGrid"/>
        <w:tblW w:type="auto" w:w="0"/>
        <w:jc w:val="center"/>
        <w:tblLayout w:type="fixed"/>
        <w:tblLook w:firstColumn="1" w:firstRow="1" w:lastColumn="0" w:lastRow="0" w:noHBand="0" w:noVBand="1" w:val="04A0"/>
      </w:tblPr>
      <w:tblGrid>
        <w:gridCol w:w="1440"/>
        <w:gridCol w:w="4752"/>
        <w:gridCol w:w="3024"/>
      </w:tblGrid>
      <w:tr>
        <w:tc>
          <w:tcPr>
            <w:tcW w:type="dxa" w:w="3456"/>
            <w:shd w:fill="12324A"/>
            <w:tcMar>
              <w:top w:w="90" w:type="dxa"/>
              <w:start w:w="100" w:type="dxa"/>
              <w:bottom w:w="90" w:type="dxa"/>
              <w:end w:w="100" w:type="dxa"/>
            </w:tcMar>
          </w:tcPr>
          <w:p>
            <w:r>
              <w:rPr>
                <w:rFonts w:ascii="Aptos" w:hAnsi="Aptos" w:eastAsia="Aptos"/>
                <w:b/>
                <w:color w:val="FFFFFF"/>
                <w:sz w:val="17"/>
              </w:rPr>
              <w:t>Time</w:t>
            </w:r>
          </w:p>
        </w:tc>
        <w:tc>
          <w:tcPr>
            <w:tcW w:type="dxa" w:w="3456"/>
            <w:shd w:fill="12324A"/>
            <w:tcMar>
              <w:top w:w="90" w:type="dxa"/>
              <w:start w:w="100" w:type="dxa"/>
              <w:bottom w:w="90" w:type="dxa"/>
              <w:end w:w="100" w:type="dxa"/>
            </w:tcMar>
          </w:tcPr>
          <w:p>
            <w:r>
              <w:rPr>
                <w:rFonts w:ascii="Aptos" w:hAnsi="Aptos" w:eastAsia="Aptos"/>
                <w:b/>
                <w:color w:val="FFFFFF"/>
                <w:sz w:val="17"/>
              </w:rPr>
              <w:t>Activity</w:t>
            </w:r>
          </w:p>
        </w:tc>
        <w:tc>
          <w:tcPr>
            <w:tcW w:type="dxa" w:w="3456"/>
            <w:shd w:fill="12324A"/>
            <w:tcMar>
              <w:top w:w="90" w:type="dxa"/>
              <w:start w:w="100" w:type="dxa"/>
              <w:bottom w:w="90" w:type="dxa"/>
              <w:end w:w="100" w:type="dxa"/>
            </w:tcMar>
          </w:tcPr>
          <w:p>
            <w:r>
              <w:rPr>
                <w:rFonts w:ascii="Aptos" w:hAnsi="Aptos" w:eastAsia="Aptos"/>
                <w:b/>
                <w:color w:val="FFFFFF"/>
                <w:sz w:val="17"/>
              </w:rPr>
              <w:t>Teacher role</w:t>
            </w:r>
          </w:p>
        </w:tc>
      </w:tr>
      <w:tr>
        <w:tc>
          <w:tcPr>
            <w:tcW w:type="dxa" w:w="1440"/>
            <w:shd w:fill="F9FBFC"/>
            <w:tcMar>
              <w:top w:w="80" w:type="dxa"/>
              <w:start w:w="100" w:type="dxa"/>
              <w:bottom w:w="80" w:type="dxa"/>
              <w:end w:w="100" w:type="dxa"/>
            </w:tcMar>
          </w:tcPr>
          <w:p>
            <w:r>
              <w:rPr>
                <w:rFonts w:ascii="Aptos" w:hAnsi="Aptos" w:eastAsia="Aptos"/>
                <w:color w:val="1D252D"/>
                <w:sz w:val="16"/>
              </w:rPr>
              <w:t>0-10 min</w:t>
            </w:r>
          </w:p>
        </w:tc>
        <w:tc>
          <w:tcPr>
            <w:tcW w:type="dxa" w:w="4752"/>
            <w:shd w:fill="F9FBFC"/>
            <w:tcMar>
              <w:top w:w="80" w:type="dxa"/>
              <w:start w:w="100" w:type="dxa"/>
              <w:bottom w:w="80" w:type="dxa"/>
              <w:end w:w="100" w:type="dxa"/>
            </w:tcMar>
          </w:tcPr>
          <w:p>
            <w:r>
              <w:rPr>
                <w:rFonts w:ascii="Aptos" w:hAnsi="Aptos" w:eastAsia="Aptos"/>
                <w:color w:val="1D252D"/>
                <w:sz w:val="16"/>
              </w:rPr>
              <w:t>Chemical problem framing and prediction-before-clicking.</w:t>
            </w:r>
          </w:p>
        </w:tc>
        <w:tc>
          <w:tcPr>
            <w:tcW w:type="dxa" w:w="3024"/>
            <w:shd w:fill="F9FBFC"/>
            <w:tcMar>
              <w:top w:w="80" w:type="dxa"/>
              <w:start w:w="100" w:type="dxa"/>
              <w:bottom w:w="80" w:type="dxa"/>
              <w:end w:w="100" w:type="dxa"/>
            </w:tcMar>
          </w:tcPr>
          <w:p>
            <w:r>
              <w:rPr>
                <w:rFonts w:ascii="Aptos" w:hAnsi="Aptos" w:eastAsia="Aptos"/>
                <w:color w:val="1D252D"/>
                <w:sz w:val="16"/>
              </w:rPr>
              <w:t>Connect the workflow to prior chemistry knowledge.</w:t>
            </w:r>
          </w:p>
        </w:tc>
      </w:tr>
      <w:tr>
        <w:tc>
          <w:tcPr>
            <w:tcW w:type="dxa" w:w="1440"/>
            <w:shd w:fill="FFFFFF"/>
            <w:tcMar>
              <w:top w:w="80" w:type="dxa"/>
              <w:start w:w="100" w:type="dxa"/>
              <w:bottom w:w="80" w:type="dxa"/>
              <w:end w:w="100" w:type="dxa"/>
            </w:tcMar>
          </w:tcPr>
          <w:p>
            <w:r>
              <w:rPr>
                <w:rFonts w:ascii="Aptos" w:hAnsi="Aptos" w:eastAsia="Aptos"/>
                <w:color w:val="1D252D"/>
                <w:sz w:val="16"/>
              </w:rPr>
              <w:t>10-20 min</w:t>
            </w:r>
          </w:p>
        </w:tc>
        <w:tc>
          <w:tcPr>
            <w:tcW w:type="dxa" w:w="4752"/>
            <w:shd w:fill="FFFFFF"/>
            <w:tcMar>
              <w:top w:w="80" w:type="dxa"/>
              <w:start w:w="100" w:type="dxa"/>
              <w:bottom w:w="80" w:type="dxa"/>
              <w:end w:w="100" w:type="dxa"/>
            </w:tcMar>
          </w:tcPr>
          <w:p>
            <w:r>
              <w:rPr>
                <w:rFonts w:ascii="Aptos" w:hAnsi="Aptos" w:eastAsia="Aptos"/>
                <w:color w:val="1D252D"/>
                <w:sz w:val="16"/>
              </w:rPr>
              <w:t>Dataset inspection and quality discussion.</w:t>
            </w:r>
          </w:p>
        </w:tc>
        <w:tc>
          <w:tcPr>
            <w:tcW w:type="dxa" w:w="3024"/>
            <w:shd w:fill="FFFFFF"/>
            <w:tcMar>
              <w:top w:w="80" w:type="dxa"/>
              <w:start w:w="100" w:type="dxa"/>
              <w:bottom w:w="80" w:type="dxa"/>
              <w:end w:w="100" w:type="dxa"/>
            </w:tcMar>
          </w:tcPr>
          <w:p>
            <w:r>
              <w:rPr>
                <w:rFonts w:ascii="Aptos" w:hAnsi="Aptos" w:eastAsia="Aptos"/>
                <w:color w:val="1D252D"/>
                <w:sz w:val="16"/>
              </w:rPr>
              <w:t>Ask students to identify possible data problems.</w:t>
            </w:r>
          </w:p>
        </w:tc>
      </w:tr>
      <w:tr>
        <w:tc>
          <w:tcPr>
            <w:tcW w:type="dxa" w:w="1440"/>
            <w:shd w:fill="F9FBFC"/>
            <w:tcMar>
              <w:top w:w="80" w:type="dxa"/>
              <w:start w:w="100" w:type="dxa"/>
              <w:bottom w:w="80" w:type="dxa"/>
              <w:end w:w="100" w:type="dxa"/>
            </w:tcMar>
          </w:tcPr>
          <w:p>
            <w:r>
              <w:rPr>
                <w:rFonts w:ascii="Aptos" w:hAnsi="Aptos" w:eastAsia="Aptos"/>
                <w:color w:val="1D252D"/>
                <w:sz w:val="16"/>
              </w:rPr>
              <w:t>20-40 min</w:t>
            </w:r>
          </w:p>
        </w:tc>
        <w:tc>
          <w:tcPr>
            <w:tcW w:type="dxa" w:w="4752"/>
            <w:shd w:fill="F9FBFC"/>
            <w:tcMar>
              <w:top w:w="80" w:type="dxa"/>
              <w:start w:w="100" w:type="dxa"/>
              <w:bottom w:w="80" w:type="dxa"/>
              <w:end w:w="100" w:type="dxa"/>
            </w:tcMar>
          </w:tcPr>
          <w:p>
            <w:r>
              <w:rPr>
                <w:rFonts w:ascii="Aptos" w:hAnsi="Aptos" w:eastAsia="Aptos"/>
                <w:color w:val="1D252D"/>
                <w:sz w:val="16"/>
              </w:rPr>
              <w:t>Guided workflow construction.</w:t>
            </w:r>
          </w:p>
        </w:tc>
        <w:tc>
          <w:tcPr>
            <w:tcW w:type="dxa" w:w="3024"/>
            <w:shd w:fill="F9FBFC"/>
            <w:tcMar>
              <w:top w:w="80" w:type="dxa"/>
              <w:start w:w="100" w:type="dxa"/>
              <w:bottom w:w="80" w:type="dxa"/>
              <w:end w:w="100" w:type="dxa"/>
            </w:tcMar>
          </w:tcPr>
          <w:p>
            <w:r>
              <w:rPr>
                <w:rFonts w:ascii="Aptos" w:hAnsi="Aptos" w:eastAsia="Aptos"/>
                <w:color w:val="1D252D"/>
                <w:sz w:val="16"/>
              </w:rPr>
              <w:t>Demonstrate only the minimum needed steps.</w:t>
            </w:r>
          </w:p>
        </w:tc>
      </w:tr>
      <w:tr>
        <w:tc>
          <w:tcPr>
            <w:tcW w:type="dxa" w:w="1440"/>
            <w:shd w:fill="FFFFFF"/>
            <w:tcMar>
              <w:top w:w="80" w:type="dxa"/>
              <w:start w:w="100" w:type="dxa"/>
              <w:bottom w:w="80" w:type="dxa"/>
              <w:end w:w="100" w:type="dxa"/>
            </w:tcMar>
          </w:tcPr>
          <w:p>
            <w:r>
              <w:rPr>
                <w:rFonts w:ascii="Aptos" w:hAnsi="Aptos" w:eastAsia="Aptos"/>
                <w:color w:val="1D252D"/>
                <w:sz w:val="16"/>
              </w:rPr>
              <w:t>40-55 min</w:t>
            </w:r>
          </w:p>
        </w:tc>
        <w:tc>
          <w:tcPr>
            <w:tcW w:type="dxa" w:w="4752"/>
            <w:shd w:fill="FFFFFF"/>
            <w:tcMar>
              <w:top w:w="80" w:type="dxa"/>
              <w:start w:w="100" w:type="dxa"/>
              <w:bottom w:w="80" w:type="dxa"/>
              <w:end w:w="100" w:type="dxa"/>
            </w:tcMar>
          </w:tcPr>
          <w:p>
            <w:r>
              <w:rPr>
                <w:rFonts w:ascii="Aptos" w:hAnsi="Aptos" w:eastAsia="Aptos"/>
                <w:color w:val="1D252D"/>
                <w:sz w:val="16"/>
              </w:rPr>
              <w:t>Student exploration and parameter variation.</w:t>
            </w:r>
          </w:p>
        </w:tc>
        <w:tc>
          <w:tcPr>
            <w:tcW w:type="dxa" w:w="3024"/>
            <w:shd w:fill="FFFFFF"/>
            <w:tcMar>
              <w:top w:w="80" w:type="dxa"/>
              <w:start w:w="100" w:type="dxa"/>
              <w:bottom w:w="80" w:type="dxa"/>
              <w:end w:w="100" w:type="dxa"/>
            </w:tcMar>
          </w:tcPr>
          <w:p>
            <w:r>
              <w:rPr>
                <w:rFonts w:ascii="Aptos" w:hAnsi="Aptos" w:eastAsia="Aptos"/>
                <w:color w:val="1D252D"/>
                <w:sz w:val="16"/>
              </w:rPr>
              <w:t>Circulate and ask justification questions.</w:t>
            </w:r>
          </w:p>
        </w:tc>
      </w:tr>
      <w:tr>
        <w:tc>
          <w:tcPr>
            <w:tcW w:type="dxa" w:w="1440"/>
            <w:shd w:fill="F9FBFC"/>
            <w:tcMar>
              <w:top w:w="80" w:type="dxa"/>
              <w:start w:w="100" w:type="dxa"/>
              <w:bottom w:w="80" w:type="dxa"/>
              <w:end w:w="100" w:type="dxa"/>
            </w:tcMar>
          </w:tcPr>
          <w:p>
            <w:r>
              <w:rPr>
                <w:rFonts w:ascii="Aptos" w:hAnsi="Aptos" w:eastAsia="Aptos"/>
                <w:color w:val="1D252D"/>
                <w:sz w:val="16"/>
              </w:rPr>
              <w:t>55-70 min</w:t>
            </w:r>
          </w:p>
        </w:tc>
        <w:tc>
          <w:tcPr>
            <w:tcW w:type="dxa" w:w="4752"/>
            <w:shd w:fill="F9FBFC"/>
            <w:tcMar>
              <w:top w:w="80" w:type="dxa"/>
              <w:start w:w="100" w:type="dxa"/>
              <w:bottom w:w="80" w:type="dxa"/>
              <w:end w:w="100" w:type="dxa"/>
            </w:tcMar>
          </w:tcPr>
          <w:p>
            <w:r>
              <w:rPr>
                <w:rFonts w:ascii="Aptos" w:hAnsi="Aptos" w:eastAsia="Aptos"/>
                <w:color w:val="1D252D"/>
                <w:sz w:val="16"/>
              </w:rPr>
              <w:t>Interpretation and comparison.</w:t>
            </w:r>
          </w:p>
        </w:tc>
        <w:tc>
          <w:tcPr>
            <w:tcW w:type="dxa" w:w="3024"/>
            <w:shd w:fill="F9FBFC"/>
            <w:tcMar>
              <w:top w:w="80" w:type="dxa"/>
              <w:start w:w="100" w:type="dxa"/>
              <w:bottom w:w="80" w:type="dxa"/>
              <w:end w:w="100" w:type="dxa"/>
            </w:tcMar>
          </w:tcPr>
          <w:p>
            <w:r>
              <w:rPr>
                <w:rFonts w:ascii="Aptos" w:hAnsi="Aptos" w:eastAsia="Aptos"/>
                <w:color w:val="1D252D"/>
                <w:sz w:val="16"/>
              </w:rPr>
              <w:t>Focus on evidence, not just outputs.</w:t>
            </w:r>
          </w:p>
        </w:tc>
      </w:tr>
      <w:tr>
        <w:tc>
          <w:tcPr>
            <w:tcW w:type="dxa" w:w="1440"/>
            <w:shd w:fill="FFFFFF"/>
            <w:tcMar>
              <w:top w:w="80" w:type="dxa"/>
              <w:start w:w="100" w:type="dxa"/>
              <w:bottom w:w="80" w:type="dxa"/>
              <w:end w:w="100" w:type="dxa"/>
            </w:tcMar>
          </w:tcPr>
          <w:p>
            <w:r>
              <w:rPr>
                <w:rFonts w:ascii="Aptos" w:hAnsi="Aptos" w:eastAsia="Aptos"/>
                <w:color w:val="1D252D"/>
                <w:sz w:val="16"/>
              </w:rPr>
              <w:t>70-75 min</w:t>
            </w:r>
          </w:p>
        </w:tc>
        <w:tc>
          <w:tcPr>
            <w:tcW w:type="dxa" w:w="4752"/>
            <w:shd w:fill="FFFFFF"/>
            <w:tcMar>
              <w:top w:w="80" w:type="dxa"/>
              <w:start w:w="100" w:type="dxa"/>
              <w:bottom w:w="80" w:type="dxa"/>
              <w:end w:w="100" w:type="dxa"/>
            </w:tcMar>
          </w:tcPr>
          <w:p>
            <w:r>
              <w:rPr>
                <w:rFonts w:ascii="Aptos" w:hAnsi="Aptos" w:eastAsia="Aptos"/>
                <w:color w:val="1D252D"/>
                <w:sz w:val="16"/>
              </w:rPr>
              <w:t>Exit ticket.</w:t>
            </w:r>
          </w:p>
        </w:tc>
        <w:tc>
          <w:tcPr>
            <w:tcW w:type="dxa" w:w="3024"/>
            <w:shd w:fill="FFFFFF"/>
            <w:tcMar>
              <w:top w:w="80" w:type="dxa"/>
              <w:start w:w="100" w:type="dxa"/>
              <w:bottom w:w="80" w:type="dxa"/>
              <w:end w:w="100" w:type="dxa"/>
            </w:tcMar>
          </w:tcPr>
          <w:p>
            <w:r>
              <w:rPr>
                <w:rFonts w:ascii="Aptos" w:hAnsi="Aptos" w:eastAsia="Aptos"/>
                <w:color w:val="1D252D"/>
                <w:sz w:val="16"/>
              </w:rPr>
              <w:t>Collect one insight, one limitation, one next question.</w:t>
            </w:r>
          </w:p>
        </w:tc>
      </w:tr>
    </w:tbl>
    <w:p>
      <w:pPr>
        <w:spacing w:after="120"/>
      </w:pPr>
    </w:p>
    <w:p>
      <w:pPr>
        <w:pStyle w:val="Heading2"/>
      </w:pPr>
      <w:r>
        <w:rPr>
          <w:rFonts w:ascii="Aptos" w:hAnsi="Aptos" w:eastAsia="Aptos"/>
          <w:b/>
          <w:color w:val="12324A"/>
          <w:sz w:val="30"/>
        </w:rPr>
        <w:t>The worksheet page pattern</w:t>
      </w:r>
    </w:p>
    <w:tbl>
      <w:tblPr>
        <w:tblW w:type="auto" w:w="0"/>
        <w:jc w:val="center"/>
        <w:tblLayout w:type="fixed"/>
        <w:tblLook w:firstColumn="1" w:firstRow="1" w:lastColumn="0" w:lastRow="0" w:noHBand="0" w:noVBand="1" w:val="04A0"/>
      </w:tblPr>
      <w:tblGrid>
        <w:gridCol w:w="4579"/>
        <w:gridCol w:w="4579"/>
      </w:tblGrid>
      <w:tr>
        <w:tc>
          <w:tcPr>
            <w:tcW w:type="dxa" w:w="5184"/>
            <w:shd w:fill="F3F7F8"/>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Context</w:t>
            </w:r>
          </w:p>
          <w:p>
            <w:r>
              <w:rPr>
                <w:rFonts w:ascii="Aptos" w:hAnsi="Aptos" w:eastAsia="Aptos"/>
                <w:color w:val="1D252D"/>
                <w:sz w:val="17"/>
              </w:rPr>
              <w:t>Short chemical scenario and why the task matters.</w:t>
            </w:r>
          </w:p>
        </w:tc>
        <w:tc>
          <w:tcPr>
            <w:tcW w:type="dxa" w:w="5184"/>
            <w:shd w:fill="F3F7F8"/>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Learning outcomes</w:t>
            </w:r>
          </w:p>
          <w:p>
            <w:r>
              <w:rPr>
                <w:rFonts w:ascii="Aptos" w:hAnsi="Aptos" w:eastAsia="Aptos"/>
                <w:color w:val="1D252D"/>
                <w:sz w:val="17"/>
              </w:rPr>
              <w:t>Three to five measurable outcomes.</w:t>
            </w:r>
          </w:p>
        </w:tc>
      </w:tr>
      <w:tr>
        <w:tc>
          <w:tcPr>
            <w:tcW w:type="dxa" w:w="5184"/>
            <w:shd w:fill="F3F7F8"/>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Workflow</w:t>
            </w:r>
          </w:p>
          <w:p>
            <w:r>
              <w:rPr>
                <w:rFonts w:ascii="Aptos" w:hAnsi="Aptos" w:eastAsia="Aptos"/>
                <w:color w:val="1D252D"/>
                <w:sz w:val="17"/>
              </w:rPr>
              <w:t>One minimal Orange workflow and one optional extension.</w:t>
            </w:r>
          </w:p>
        </w:tc>
        <w:tc>
          <w:tcPr>
            <w:tcW w:type="dxa" w:w="5184"/>
            <w:shd w:fill="F3F7F8"/>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Tasks</w:t>
            </w:r>
          </w:p>
          <w:p>
            <w:r>
              <w:rPr>
                <w:rFonts w:ascii="Aptos" w:hAnsi="Aptos" w:eastAsia="Aptos"/>
                <w:color w:val="1D252D"/>
                <w:sz w:val="17"/>
              </w:rPr>
              <w:t>Stepwise work with prediction-before-computation.</w:t>
            </w:r>
          </w:p>
        </w:tc>
      </w:tr>
      <w:tr>
        <w:tc>
          <w:tcPr>
            <w:tcW w:type="dxa" w:w="5184"/>
            <w:shd w:fill="F3F7F8"/>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Interpretation</w:t>
            </w:r>
          </w:p>
          <w:p>
            <w:r>
              <w:rPr>
                <w:rFonts w:ascii="Aptos" w:hAnsi="Aptos" w:eastAsia="Aptos"/>
                <w:color w:val="1D252D"/>
                <w:sz w:val="17"/>
              </w:rPr>
              <w:t>Guiding questions tied to chemistry.</w:t>
            </w:r>
          </w:p>
        </w:tc>
        <w:tc>
          <w:tcPr>
            <w:tcW w:type="dxa" w:w="5184"/>
            <w:shd w:fill="F3F7F8"/>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Assessment</w:t>
            </w:r>
          </w:p>
          <w:p>
            <w:r>
              <w:rPr>
                <w:rFonts w:ascii="Aptos" w:hAnsi="Aptos" w:eastAsia="Aptos"/>
                <w:color w:val="1D252D"/>
                <w:sz w:val="17"/>
              </w:rPr>
              <w:t>Small rubric or checklist for evidence quality.</w:t>
            </w:r>
          </w:p>
        </w:tc>
      </w:tr>
    </w:tbl>
    <w:p>
      <w:pPr>
        <w:spacing w:after="100"/>
      </w:pPr>
    </w:p>
    <w:tbl>
      <w:tblPr>
        <w:tblW w:type="auto" w:w="0"/>
        <w:jc w:val="center"/>
        <w:tblLayout w:type="fixed"/>
        <w:tblLook w:firstColumn="1" w:firstRow="1" w:lastColumn="0" w:lastRow="0" w:noHBand="0" w:noVBand="1" w:val="04A0"/>
      </w:tblPr>
      <w:tblGrid>
        <w:gridCol w:w="173"/>
        <w:gridCol w:w="8856"/>
      </w:tblGrid>
      <w:tr>
        <w:tc>
          <w:tcPr>
            <w:tcW w:type="dxa" w:w="5184"/>
            <w:shd w:fill="F28C28"/>
            <w:tcMar>
              <w:top w:w="120" w:type="dxa"/>
              <w:start w:w="100" w:type="dxa"/>
              <w:bottom w:w="120" w:type="dxa"/>
              <w:end w:w="100" w:type="dxa"/>
            </w:tcMar>
            <w:tcBorders>
              <w:top w:sz="0" w:val="single" w:color="FFF3E6"/>
              <w:left w:sz="0" w:val="single" w:color="FFF3E6"/>
              <w:bottom w:sz="0" w:val="single" w:color="FFF3E6"/>
              <w:right w:sz="0" w:val="single" w:color="FFF3E6"/>
            </w:tcBorders>
            <w:vAlign w:val="center"/>
          </w:tcPr>
          <w:p/>
        </w:tc>
        <w:tc>
          <w:tcPr>
            <w:tcW w:type="dxa" w:w="5184"/>
            <w:shd w:fill="FFF3E6"/>
            <w:tcMar>
              <w:top w:w="120" w:type="dxa"/>
              <w:start w:w="100" w:type="dxa"/>
              <w:bottom w:w="120" w:type="dxa"/>
              <w:end w:w="100" w:type="dxa"/>
            </w:tcMar>
            <w:tcBorders>
              <w:top w:sz="0" w:val="single" w:color="FFF3E6"/>
              <w:left w:sz="0" w:val="single" w:color="FFF3E6"/>
              <w:bottom w:sz="0" w:val="single" w:color="FFF3E6"/>
              <w:right w:sz="0" w:val="single" w:color="FFF3E6"/>
            </w:tcBorders>
            <w:vAlign w:val="center"/>
          </w:tcPr>
          <w:p>
            <w:r>
              <w:rPr>
                <w:rFonts w:ascii="Aptos" w:hAnsi="Aptos" w:eastAsia="Aptos"/>
                <w:b/>
                <w:color w:val="12324A"/>
                <w:sz w:val="21"/>
              </w:rPr>
              <w:t>Workflow</w:t>
            </w:r>
          </w:p>
          <w:p>
            <w:pPr>
              <w:spacing w:before="40" w:after="0"/>
            </w:pPr>
            <w:r>
              <w:rPr>
                <w:rFonts w:ascii="Aptos" w:hAnsi="Aptos" w:eastAsia="Aptos"/>
                <w:color w:val="1D252D"/>
                <w:sz w:val="18"/>
              </w:rPr>
              <w:t>File  -&gt;  Mol Standardizer  -&gt;  Descriptors / Fingerprints  -&gt;  Model or Analysis  -&gt;  Interpretation  -&gt;  Report</w:t>
            </w:r>
          </w:p>
        </w:tc>
      </w:tr>
    </w:tbl>
    <w:p>
      <w:pPr>
        <w:spacing w:after="40"/>
      </w:pPr>
    </w:p>
    <w:p>
      <w:pPr>
        <w:spacing w:after="40"/>
      </w:pPr>
      <w:r>
        <w:rPr>
          <w:rFonts w:ascii="Aptos" w:hAnsi="Aptos" w:eastAsia="Aptos"/>
          <w:b/>
          <w:color w:val="1AA6A6"/>
          <w:sz w:val="17"/>
        </w:rPr>
        <w:t>FROM DATA TO CHEMICAL REASONING</w:t>
      </w:r>
    </w:p>
    <w:p>
      <w:pPr>
        <w:pStyle w:val="Heading1"/>
        <w:spacing w:after="200"/>
      </w:pPr>
      <w:r>
        <w:rPr>
          <w:rFonts w:ascii="Aptos" w:hAnsi="Aptos" w:eastAsia="Aptos"/>
          <w:b/>
          <w:color w:val="12324A"/>
          <w:sz w:val="48"/>
        </w:rPr>
        <w:t>4. Core workflow patterns</w:t>
      </w:r>
    </w:p>
    <w:tbl>
      <w:tblPr>
        <w:tblW w:type="auto" w:w="0"/>
        <w:jc w:val="center"/>
        <w:tblLayout w:type="fixed"/>
        <w:tblLook w:firstColumn="1" w:firstRow="1" w:lastColumn="0" w:lastRow="0" w:noHBand="0" w:noVBand="1" w:val="04A0"/>
      </w:tblPr>
      <w:tblGrid>
        <w:gridCol w:w="173"/>
        <w:gridCol w:w="8856"/>
      </w:tblGrid>
      <w:tr>
        <w:tc>
          <w:tcPr>
            <w:tcW w:type="dxa" w:w="5184"/>
            <w:shd w:fill="1AA6A6"/>
            <w:tcMar>
              <w:top w:w="120" w:type="dxa"/>
              <w:start w:w="100" w:type="dxa"/>
              <w:bottom w:w="120" w:type="dxa"/>
              <w:end w:w="100" w:type="dxa"/>
            </w:tcMar>
            <w:tcBorders>
              <w:top w:sz="0" w:val="single" w:color="F8FAFB"/>
              <w:left w:sz="0" w:val="single" w:color="F8FAFB"/>
              <w:bottom w:sz="0" w:val="single" w:color="F8FAFB"/>
              <w:right w:sz="0" w:val="single" w:color="F8FAFB"/>
            </w:tcBorders>
            <w:vAlign w:val="center"/>
          </w:tcPr>
          <w:p/>
        </w:tc>
        <w:tc>
          <w:tcPr>
            <w:tcW w:type="dxa" w:w="5184"/>
            <w:shd w:fill="F8FAFB"/>
            <w:tcMar>
              <w:top w:w="120" w:type="dxa"/>
              <w:start w:w="100" w:type="dxa"/>
              <w:bottom w:w="120" w:type="dxa"/>
              <w:end w:w="100" w:type="dxa"/>
            </w:tcMar>
            <w:tcBorders>
              <w:top w:sz="0" w:val="single" w:color="F8FAFB"/>
              <w:left w:sz="0" w:val="single" w:color="F8FAFB"/>
              <w:bottom w:sz="0" w:val="single" w:color="F8FAFB"/>
              <w:right w:sz="0" w:val="single" w:color="F8FAFB"/>
            </w:tcBorders>
            <w:vAlign w:val="center"/>
          </w:tcPr>
          <w:p>
            <w:r>
              <w:rPr>
                <w:rFonts w:ascii="Aptos" w:hAnsi="Aptos" w:eastAsia="Aptos"/>
                <w:b/>
                <w:color w:val="12324A"/>
                <w:sz w:val="21"/>
              </w:rPr>
              <w:t>Data cleaning</w:t>
            </w:r>
          </w:p>
          <w:p>
            <w:pPr>
              <w:spacing w:before="40" w:after="0"/>
            </w:pPr>
            <w:r>
              <w:rPr>
                <w:rFonts w:ascii="Aptos" w:hAnsi="Aptos" w:eastAsia="Aptos"/>
                <w:color w:val="1D252D"/>
                <w:sz w:val="18"/>
              </w:rPr>
              <w:t>Workflow: File -&gt; Mol Standardizer -&gt; Data Table</w:t>
              <w:br/>
              <w:t>Use case: Use when students need to understand invalid SMILES, salts, charges, and reproducibility.</w:t>
            </w:r>
          </w:p>
        </w:tc>
      </w:tr>
    </w:tbl>
    <w:p>
      <w:pPr>
        <w:spacing w:after="40"/>
      </w:pPr>
    </w:p>
    <w:tbl>
      <w:tblPr>
        <w:tblW w:type="auto" w:w="0"/>
        <w:jc w:val="center"/>
        <w:tblLayout w:type="fixed"/>
        <w:tblLook w:firstColumn="1" w:firstRow="1" w:lastColumn="0" w:lastRow="0" w:noHBand="0" w:noVBand="1" w:val="04A0"/>
      </w:tblPr>
      <w:tblGrid>
        <w:gridCol w:w="173"/>
        <w:gridCol w:w="8856"/>
      </w:tblGrid>
      <w:tr>
        <w:tc>
          <w:tcPr>
            <w:tcW w:type="dxa" w:w="5184"/>
            <w:shd w:fill="1AA6A6"/>
            <w:tcMar>
              <w:top w:w="120" w:type="dxa"/>
              <w:start w:w="100" w:type="dxa"/>
              <w:bottom w:w="120" w:type="dxa"/>
              <w:end w:w="100" w:type="dxa"/>
            </w:tcMar>
            <w:tcBorders>
              <w:top w:sz="0" w:val="single" w:color="F8FAFB"/>
              <w:left w:sz="0" w:val="single" w:color="F8FAFB"/>
              <w:bottom w:sz="0" w:val="single" w:color="F8FAFB"/>
              <w:right w:sz="0" w:val="single" w:color="F8FAFB"/>
            </w:tcBorders>
            <w:vAlign w:val="center"/>
          </w:tcPr>
          <w:p/>
        </w:tc>
        <w:tc>
          <w:tcPr>
            <w:tcW w:type="dxa" w:w="5184"/>
            <w:shd w:fill="F8FAFB"/>
            <w:tcMar>
              <w:top w:w="120" w:type="dxa"/>
              <w:start w:w="100" w:type="dxa"/>
              <w:bottom w:w="120" w:type="dxa"/>
              <w:end w:w="100" w:type="dxa"/>
            </w:tcMar>
            <w:tcBorders>
              <w:top w:sz="0" w:val="single" w:color="F8FAFB"/>
              <w:left w:sz="0" w:val="single" w:color="F8FAFB"/>
              <w:bottom w:sz="0" w:val="single" w:color="F8FAFB"/>
              <w:right w:sz="0" w:val="single" w:color="F8FAFB"/>
            </w:tcBorders>
            <w:vAlign w:val="center"/>
          </w:tcPr>
          <w:p>
            <w:r>
              <w:rPr>
                <w:rFonts w:ascii="Aptos" w:hAnsi="Aptos" w:eastAsia="Aptos"/>
                <w:b/>
                <w:color w:val="12324A"/>
                <w:sz w:val="21"/>
              </w:rPr>
              <w:t>Fingerprint interpretation</w:t>
            </w:r>
          </w:p>
          <w:p>
            <w:pPr>
              <w:spacing w:before="40" w:after="0"/>
            </w:pPr>
            <w:r>
              <w:rPr>
                <w:rFonts w:ascii="Aptos" w:hAnsi="Aptos" w:eastAsia="Aptos"/>
                <w:color w:val="1D252D"/>
                <w:sz w:val="18"/>
              </w:rPr>
              <w:t>Workflow: File -&gt; Cyclic Registry Fingerprint -&gt; Matched Registry Entries -&gt; Data Table</w:t>
              <w:br/>
              <w:t>Use case: Use when the goal is interpretable structural motifs.</w:t>
            </w:r>
          </w:p>
        </w:tc>
      </w:tr>
    </w:tbl>
    <w:p>
      <w:pPr>
        <w:spacing w:after="40"/>
      </w:pPr>
    </w:p>
    <w:tbl>
      <w:tblPr>
        <w:tblW w:type="auto" w:w="0"/>
        <w:jc w:val="center"/>
        <w:tblLayout w:type="fixed"/>
        <w:tblLook w:firstColumn="1" w:firstRow="1" w:lastColumn="0" w:lastRow="0" w:noHBand="0" w:noVBand="1" w:val="04A0"/>
      </w:tblPr>
      <w:tblGrid>
        <w:gridCol w:w="173"/>
        <w:gridCol w:w="8856"/>
      </w:tblGrid>
      <w:tr>
        <w:tc>
          <w:tcPr>
            <w:tcW w:type="dxa" w:w="5184"/>
            <w:shd w:fill="F28C28"/>
            <w:tcMar>
              <w:top w:w="120" w:type="dxa"/>
              <w:start w:w="100" w:type="dxa"/>
              <w:bottom w:w="120" w:type="dxa"/>
              <w:end w:w="100" w:type="dxa"/>
            </w:tcMar>
            <w:tcBorders>
              <w:top w:sz="0" w:val="single" w:color="F8FAFB"/>
              <w:left w:sz="0" w:val="single" w:color="F8FAFB"/>
              <w:bottom w:sz="0" w:val="single" w:color="F8FAFB"/>
              <w:right w:sz="0" w:val="single" w:color="F8FAFB"/>
            </w:tcBorders>
            <w:vAlign w:val="center"/>
          </w:tcPr>
          <w:p/>
        </w:tc>
        <w:tc>
          <w:tcPr>
            <w:tcW w:type="dxa" w:w="5184"/>
            <w:shd w:fill="F8FAFB"/>
            <w:tcMar>
              <w:top w:w="120" w:type="dxa"/>
              <w:start w:w="100" w:type="dxa"/>
              <w:bottom w:w="120" w:type="dxa"/>
              <w:end w:w="100" w:type="dxa"/>
            </w:tcMar>
            <w:tcBorders>
              <w:top w:sz="0" w:val="single" w:color="F8FAFB"/>
              <w:left w:sz="0" w:val="single" w:color="F8FAFB"/>
              <w:bottom w:sz="0" w:val="single" w:color="F8FAFB"/>
              <w:right w:sz="0" w:val="single" w:color="F8FAFB"/>
            </w:tcBorders>
            <w:vAlign w:val="center"/>
          </w:tcPr>
          <w:p>
            <w:r>
              <w:rPr>
                <w:rFonts w:ascii="Aptos" w:hAnsi="Aptos" w:eastAsia="Aptos"/>
                <w:b/>
                <w:color w:val="12324A"/>
                <w:sz w:val="21"/>
              </w:rPr>
              <w:t>QSAR baseline</w:t>
            </w:r>
          </w:p>
          <w:p>
            <w:pPr>
              <w:spacing w:before="40" w:after="0"/>
            </w:pPr>
            <w:r>
              <w:rPr>
                <w:rFonts w:ascii="Aptos" w:hAnsi="Aptos" w:eastAsia="Aptos"/>
                <w:color w:val="1D252D"/>
                <w:sz w:val="18"/>
              </w:rPr>
              <w:t>Workflow: File -&gt; Mol Descriptors 2 -&gt; QSAR Regression -&gt; Test &amp; Score</w:t>
              <w:br/>
              <w:t>Use case: Use for first QSAR modelling sessions.</w:t>
            </w:r>
          </w:p>
        </w:tc>
      </w:tr>
    </w:tbl>
    <w:p>
      <w:pPr>
        <w:spacing w:after="40"/>
      </w:pPr>
    </w:p>
    <w:tbl>
      <w:tblPr>
        <w:tblW w:type="auto" w:w="0"/>
        <w:jc w:val="center"/>
        <w:tblLayout w:type="fixed"/>
        <w:tblLook w:firstColumn="1" w:firstRow="1" w:lastColumn="0" w:lastRow="0" w:noHBand="0" w:noVBand="1" w:val="04A0"/>
      </w:tblPr>
      <w:tblGrid>
        <w:gridCol w:w="173"/>
        <w:gridCol w:w="8856"/>
      </w:tblGrid>
      <w:tr>
        <w:tc>
          <w:tcPr>
            <w:tcW w:type="dxa" w:w="5184"/>
            <w:shd w:fill="1AA6A6"/>
            <w:tcMar>
              <w:top w:w="120" w:type="dxa"/>
              <w:start w:w="100" w:type="dxa"/>
              <w:bottom w:w="120" w:type="dxa"/>
              <w:end w:w="100" w:type="dxa"/>
            </w:tcMar>
            <w:tcBorders>
              <w:top w:sz="0" w:val="single" w:color="F8FAFB"/>
              <w:left w:sz="0" w:val="single" w:color="F8FAFB"/>
              <w:bottom w:sz="0" w:val="single" w:color="F8FAFB"/>
              <w:right w:sz="0" w:val="single" w:color="F8FAFB"/>
            </w:tcBorders>
            <w:vAlign w:val="center"/>
          </w:tcPr>
          <w:p/>
        </w:tc>
        <w:tc>
          <w:tcPr>
            <w:tcW w:type="dxa" w:w="5184"/>
            <w:shd w:fill="F8FAFB"/>
            <w:tcMar>
              <w:top w:w="120" w:type="dxa"/>
              <w:start w:w="100" w:type="dxa"/>
              <w:bottom w:w="120" w:type="dxa"/>
              <w:end w:w="100" w:type="dxa"/>
            </w:tcMar>
            <w:tcBorders>
              <w:top w:sz="0" w:val="single" w:color="F8FAFB"/>
              <w:left w:sz="0" w:val="single" w:color="F8FAFB"/>
              <w:bottom w:sz="0" w:val="single" w:color="F8FAFB"/>
              <w:right w:sz="0" w:val="single" w:color="F8FAFB"/>
            </w:tcBorders>
            <w:vAlign w:val="center"/>
          </w:tcPr>
          <w:p>
            <w:r>
              <w:rPr>
                <w:rFonts w:ascii="Aptos" w:hAnsi="Aptos" w:eastAsia="Aptos"/>
                <w:b/>
                <w:color w:val="12324A"/>
                <w:sz w:val="21"/>
              </w:rPr>
              <w:t>Scaffold-aware validation</w:t>
            </w:r>
          </w:p>
          <w:p>
            <w:pPr>
              <w:spacing w:before="40" w:after="0"/>
            </w:pPr>
            <w:r>
              <w:rPr>
                <w:rFonts w:ascii="Aptos" w:hAnsi="Aptos" w:eastAsia="Aptos"/>
                <w:color w:val="1D252D"/>
                <w:sz w:val="18"/>
              </w:rPr>
              <w:t>Workflow: File -&gt; Mol Descriptors 2 -&gt; Scaffold Splitter -&gt; QSAR Regression</w:t>
              <w:br/>
              <w:t>Use case: Use to show why random split can overestimate performance.</w:t>
            </w:r>
          </w:p>
        </w:tc>
      </w:tr>
    </w:tbl>
    <w:p>
      <w:pPr>
        <w:spacing w:after="40"/>
      </w:pPr>
    </w:p>
    <w:tbl>
      <w:tblPr>
        <w:tblW w:type="auto" w:w="0"/>
        <w:jc w:val="center"/>
        <w:tblLayout w:type="fixed"/>
        <w:tblLook w:firstColumn="1" w:firstRow="1" w:lastColumn="0" w:lastRow="0" w:noHBand="0" w:noVBand="1" w:val="04A0"/>
      </w:tblPr>
      <w:tblGrid>
        <w:gridCol w:w="173"/>
        <w:gridCol w:w="8856"/>
      </w:tblGrid>
      <w:tr>
        <w:tc>
          <w:tcPr>
            <w:tcW w:type="dxa" w:w="5184"/>
            <w:shd w:fill="1AA6A6"/>
            <w:tcMar>
              <w:top w:w="120" w:type="dxa"/>
              <w:start w:w="100" w:type="dxa"/>
              <w:bottom w:w="120" w:type="dxa"/>
              <w:end w:w="100" w:type="dxa"/>
            </w:tcMar>
            <w:tcBorders>
              <w:top w:sz="0" w:val="single" w:color="F8FAFB"/>
              <w:left w:sz="0" w:val="single" w:color="F8FAFB"/>
              <w:bottom w:sz="0" w:val="single" w:color="F8FAFB"/>
              <w:right w:sz="0" w:val="single" w:color="F8FAFB"/>
            </w:tcBorders>
            <w:vAlign w:val="center"/>
          </w:tcPr>
          <w:p/>
        </w:tc>
        <w:tc>
          <w:tcPr>
            <w:tcW w:type="dxa" w:w="5184"/>
            <w:shd w:fill="F8FAFB"/>
            <w:tcMar>
              <w:top w:w="120" w:type="dxa"/>
              <w:start w:w="100" w:type="dxa"/>
              <w:bottom w:w="120" w:type="dxa"/>
              <w:end w:w="100" w:type="dxa"/>
            </w:tcMar>
            <w:tcBorders>
              <w:top w:sz="0" w:val="single" w:color="F8FAFB"/>
              <w:left w:sz="0" w:val="single" w:color="F8FAFB"/>
              <w:bottom w:sz="0" w:val="single" w:color="F8FAFB"/>
              <w:right w:sz="0" w:val="single" w:color="F8FAFB"/>
            </w:tcBorders>
            <w:vAlign w:val="center"/>
          </w:tcPr>
          <w:p>
            <w:r>
              <w:rPr>
                <w:rFonts w:ascii="Aptos" w:hAnsi="Aptos" w:eastAsia="Aptos"/>
                <w:b/>
                <w:color w:val="12324A"/>
                <w:sz w:val="21"/>
              </w:rPr>
              <w:t>Applicability domain</w:t>
            </w:r>
          </w:p>
          <w:p>
            <w:pPr>
              <w:spacing w:before="40" w:after="0"/>
            </w:pPr>
            <w:r>
              <w:rPr>
                <w:rFonts w:ascii="Aptos" w:hAnsi="Aptos" w:eastAsia="Aptos"/>
                <w:color w:val="1D252D"/>
                <w:sz w:val="18"/>
              </w:rPr>
              <w:t>Workflow: Reference File -&gt; Query File -&gt; Applicability Domain -&gt; Data Table</w:t>
              <w:br/>
              <w:t>Use case: Use to teach prediction reliability.</w:t>
            </w:r>
          </w:p>
        </w:tc>
      </w:tr>
    </w:tbl>
    <w:p>
      <w:pPr>
        <w:spacing w:after="40"/>
      </w:pPr>
    </w:p>
    <w:tbl>
      <w:tblPr>
        <w:tblW w:type="auto" w:w="0"/>
        <w:jc w:val="center"/>
        <w:tblLayout w:type="fixed"/>
        <w:tblLook w:firstColumn="1" w:firstRow="1" w:lastColumn="0" w:lastRow="0" w:noHBand="0" w:noVBand="1" w:val="04A0"/>
      </w:tblPr>
      <w:tblGrid>
        <w:gridCol w:w="173"/>
        <w:gridCol w:w="8856"/>
      </w:tblGrid>
      <w:tr>
        <w:tc>
          <w:tcPr>
            <w:tcW w:type="dxa" w:w="5184"/>
            <w:shd w:fill="1AA6A6"/>
            <w:tcMar>
              <w:top w:w="120" w:type="dxa"/>
              <w:start w:w="100" w:type="dxa"/>
              <w:bottom w:w="120" w:type="dxa"/>
              <w:end w:w="100" w:type="dxa"/>
            </w:tcMar>
            <w:tcBorders>
              <w:top w:sz="0" w:val="single" w:color="F8FAFB"/>
              <w:left w:sz="0" w:val="single" w:color="F8FAFB"/>
              <w:bottom w:sz="0" w:val="single" w:color="F8FAFB"/>
              <w:right w:sz="0" w:val="single" w:color="F8FAFB"/>
            </w:tcBorders>
            <w:vAlign w:val="center"/>
          </w:tcPr>
          <w:p/>
        </w:tc>
        <w:tc>
          <w:tcPr>
            <w:tcW w:type="dxa" w:w="5184"/>
            <w:shd w:fill="F8FAFB"/>
            <w:tcMar>
              <w:top w:w="120" w:type="dxa"/>
              <w:start w:w="100" w:type="dxa"/>
              <w:bottom w:w="120" w:type="dxa"/>
              <w:end w:w="100" w:type="dxa"/>
            </w:tcMar>
            <w:tcBorders>
              <w:top w:sz="0" w:val="single" w:color="F8FAFB"/>
              <w:left w:sz="0" w:val="single" w:color="F8FAFB"/>
              <w:bottom w:sz="0" w:val="single" w:color="F8FAFB"/>
              <w:right w:sz="0" w:val="single" w:color="F8FAFB"/>
            </w:tcBorders>
            <w:vAlign w:val="center"/>
          </w:tcPr>
          <w:p>
            <w:r>
              <w:rPr>
                <w:rFonts w:ascii="Aptos" w:hAnsi="Aptos" w:eastAsia="Aptos"/>
                <w:b/>
                <w:color w:val="12324A"/>
                <w:sz w:val="21"/>
              </w:rPr>
              <w:t>Curation pipeline</w:t>
            </w:r>
          </w:p>
          <w:p>
            <w:pPr>
              <w:spacing w:before="40" w:after="0"/>
            </w:pPr>
            <w:r>
              <w:rPr>
                <w:rFonts w:ascii="Aptos" w:hAnsi="Aptos" w:eastAsia="Aptos"/>
                <w:color w:val="1D252D"/>
                <w:sz w:val="18"/>
              </w:rPr>
              <w:t>Workflow: ChEMBL Retrieval -&gt; Mol Standardizer -&gt; Duplicate Aggregation -&gt; QSAR-ready Table</w:t>
              <w:br/>
              <w:t>Use case: Use to teach real-world bioactivity data limitations.</w:t>
            </w:r>
          </w:p>
        </w:tc>
      </w:tr>
    </w:tbl>
    <w:p>
      <w:pPr>
        <w:spacing w:after="40"/>
      </w:pPr>
    </w:p>
    <w:p>
      <w:pPr>
        <w:spacing w:after="40"/>
      </w:pPr>
      <w:r>
        <w:rPr>
          <w:rFonts w:ascii="Aptos" w:hAnsi="Aptos" w:eastAsia="Aptos"/>
          <w:b/>
          <w:color w:val="1AA6A6"/>
          <w:sz w:val="17"/>
        </w:rPr>
        <w:t>WHAT IS ALREADY INCLUDED</w:t>
      </w:r>
    </w:p>
    <w:p>
      <w:pPr>
        <w:pStyle w:val="Heading1"/>
        <w:spacing w:after="200"/>
      </w:pPr>
      <w:r>
        <w:rPr>
          <w:rFonts w:ascii="Aptos" w:hAnsi="Aptos" w:eastAsia="Aptos"/>
          <w:b/>
          <w:color w:val="12324A"/>
          <w:sz w:val="48"/>
        </w:rPr>
        <w:t>5. Teaching package map</w:t>
      </w:r>
    </w:p>
    <w:p>
      <w:pPr>
        <w:spacing w:after="120" w:line="259" w:lineRule="auto"/>
      </w:pPr>
      <w:r>
        <w:rPr>
          <w:rFonts w:ascii="Aptos" w:hAnsi="Aptos" w:eastAsia="Aptos"/>
          <w:color w:val="1D252D"/>
          <w:sz w:val="20"/>
        </w:rPr>
        <w:t>The package now contains multiple teaching modules. Use the map below to select a module based on learning goals.</w:t>
      </w:r>
    </w:p>
    <w:tbl>
      <w:tblPr>
        <w:tblStyle w:val="TableGrid"/>
        <w:tblW w:type="auto" w:w="0"/>
        <w:jc w:val="center"/>
        <w:tblLayout w:type="fixed"/>
        <w:tblLook w:firstColumn="1" w:firstRow="1" w:lastColumn="0" w:lastRow="0" w:noHBand="0" w:noVBand="1" w:val="04A0"/>
      </w:tblPr>
      <w:tblGrid>
        <w:gridCol w:w="3024"/>
        <w:gridCol w:w="3744"/>
        <w:gridCol w:w="2592"/>
      </w:tblGrid>
      <w:tr>
        <w:tc>
          <w:tcPr>
            <w:tcW w:type="dxa" w:w="3456"/>
            <w:shd w:fill="12324A"/>
            <w:tcMar>
              <w:top w:w="90" w:type="dxa"/>
              <w:start w:w="100" w:type="dxa"/>
              <w:bottom w:w="90" w:type="dxa"/>
              <w:end w:w="100" w:type="dxa"/>
            </w:tcMar>
          </w:tcPr>
          <w:p>
            <w:r>
              <w:rPr>
                <w:rFonts w:ascii="Aptos" w:hAnsi="Aptos" w:eastAsia="Aptos"/>
                <w:b/>
                <w:color w:val="FFFFFF"/>
                <w:sz w:val="17"/>
              </w:rPr>
              <w:t>Teaching package</w:t>
            </w:r>
          </w:p>
        </w:tc>
        <w:tc>
          <w:tcPr>
            <w:tcW w:type="dxa" w:w="3456"/>
            <w:shd w:fill="12324A"/>
            <w:tcMar>
              <w:top w:w="90" w:type="dxa"/>
              <w:start w:w="100" w:type="dxa"/>
              <w:bottom w:w="90" w:type="dxa"/>
              <w:end w:w="100" w:type="dxa"/>
            </w:tcMar>
          </w:tcPr>
          <w:p>
            <w:r>
              <w:rPr>
                <w:rFonts w:ascii="Aptos" w:hAnsi="Aptos" w:eastAsia="Aptos"/>
                <w:b/>
                <w:color w:val="FFFFFF"/>
                <w:sz w:val="17"/>
              </w:rPr>
              <w:t>Best for</w:t>
            </w:r>
          </w:p>
        </w:tc>
        <w:tc>
          <w:tcPr>
            <w:tcW w:type="dxa" w:w="3456"/>
            <w:shd w:fill="12324A"/>
            <w:tcMar>
              <w:top w:w="90" w:type="dxa"/>
              <w:start w:w="100" w:type="dxa"/>
              <w:bottom w:w="90" w:type="dxa"/>
              <w:end w:w="100" w:type="dxa"/>
            </w:tcMar>
          </w:tcPr>
          <w:p>
            <w:r>
              <w:rPr>
                <w:rFonts w:ascii="Aptos" w:hAnsi="Aptos" w:eastAsia="Aptos"/>
                <w:b/>
                <w:color w:val="FFFFFF"/>
                <w:sz w:val="17"/>
              </w:rPr>
              <w:t>Typical output</w:t>
            </w:r>
          </w:p>
        </w:tc>
      </w:tr>
      <w:tr>
        <w:tc>
          <w:tcPr>
            <w:tcW w:type="dxa" w:w="3024"/>
            <w:shd w:fill="F9FBFC"/>
            <w:tcMar>
              <w:top w:w="80" w:type="dxa"/>
              <w:start w:w="100" w:type="dxa"/>
              <w:bottom w:w="80" w:type="dxa"/>
              <w:end w:w="100" w:type="dxa"/>
            </w:tcMar>
          </w:tcPr>
          <w:p>
            <w:r>
              <w:rPr>
                <w:rFonts w:ascii="Aptos" w:hAnsi="Aptos" w:eastAsia="Aptos"/>
                <w:color w:val="1D252D"/>
                <w:sz w:val="16"/>
              </w:rPr>
              <w:t>Cyclic Registry Fingerprint</w:t>
            </w:r>
          </w:p>
        </w:tc>
        <w:tc>
          <w:tcPr>
            <w:tcW w:type="dxa" w:w="3744"/>
            <w:shd w:fill="F9FBFC"/>
            <w:tcMar>
              <w:top w:w="80" w:type="dxa"/>
              <w:start w:w="100" w:type="dxa"/>
              <w:bottom w:w="80" w:type="dxa"/>
              <w:end w:w="100" w:type="dxa"/>
            </w:tcMar>
          </w:tcPr>
          <w:p>
            <w:r>
              <w:rPr>
                <w:rFonts w:ascii="Aptos" w:hAnsi="Aptos" w:eastAsia="Aptos"/>
                <w:color w:val="1D252D"/>
                <w:sz w:val="16"/>
              </w:rPr>
              <w:t>Heterocycles, interpretable fingerprints, motif matching.</w:t>
            </w:r>
          </w:p>
        </w:tc>
        <w:tc>
          <w:tcPr>
            <w:tcW w:type="dxa" w:w="2592"/>
            <w:shd w:fill="F9FBFC"/>
            <w:tcMar>
              <w:top w:w="80" w:type="dxa"/>
              <w:start w:w="100" w:type="dxa"/>
              <w:bottom w:w="80" w:type="dxa"/>
              <w:end w:w="100" w:type="dxa"/>
            </w:tcMar>
          </w:tcPr>
          <w:p>
            <w:r>
              <w:rPr>
                <w:rFonts w:ascii="Aptos" w:hAnsi="Aptos" w:eastAsia="Aptos"/>
                <w:color w:val="1D252D"/>
                <w:sz w:val="16"/>
              </w:rPr>
              <w:t>4096-bit table and matched registry entries.</w:t>
            </w:r>
          </w:p>
        </w:tc>
      </w:tr>
      <w:tr>
        <w:tc>
          <w:tcPr>
            <w:tcW w:type="dxa" w:w="3024"/>
            <w:shd w:fill="FFFFFF"/>
            <w:tcMar>
              <w:top w:w="80" w:type="dxa"/>
              <w:start w:w="100" w:type="dxa"/>
              <w:bottom w:w="80" w:type="dxa"/>
              <w:end w:w="100" w:type="dxa"/>
            </w:tcMar>
          </w:tcPr>
          <w:p>
            <w:r>
              <w:rPr>
                <w:rFonts w:ascii="Aptos" w:hAnsi="Aptos" w:eastAsia="Aptos"/>
                <w:color w:val="1D252D"/>
                <w:sz w:val="16"/>
              </w:rPr>
              <w:t>QSAR Widgets</w:t>
            </w:r>
          </w:p>
        </w:tc>
        <w:tc>
          <w:tcPr>
            <w:tcW w:type="dxa" w:w="3744"/>
            <w:shd w:fill="FFFFFF"/>
            <w:tcMar>
              <w:top w:w="80" w:type="dxa"/>
              <w:start w:w="100" w:type="dxa"/>
              <w:bottom w:w="80" w:type="dxa"/>
              <w:end w:w="100" w:type="dxa"/>
            </w:tcMar>
          </w:tcPr>
          <w:p>
            <w:r>
              <w:rPr>
                <w:rFonts w:ascii="Aptos" w:hAnsi="Aptos" w:eastAsia="Aptos"/>
                <w:color w:val="1D252D"/>
                <w:sz w:val="16"/>
              </w:rPr>
              <w:t>Descriptor preparation, fingerprint QSAR, model comparison.</w:t>
            </w:r>
          </w:p>
        </w:tc>
        <w:tc>
          <w:tcPr>
            <w:tcW w:type="dxa" w:w="2592"/>
            <w:shd w:fill="FFFFFF"/>
            <w:tcMar>
              <w:top w:w="80" w:type="dxa"/>
              <w:start w:w="100" w:type="dxa"/>
              <w:bottom w:w="80" w:type="dxa"/>
              <w:end w:w="100" w:type="dxa"/>
            </w:tcMar>
          </w:tcPr>
          <w:p>
            <w:r>
              <w:rPr>
                <w:rFonts w:ascii="Aptos" w:hAnsi="Aptos" w:eastAsia="Aptos"/>
                <w:color w:val="1D252D"/>
                <w:sz w:val="16"/>
              </w:rPr>
              <w:t>Model performance and feature interpretation.</w:t>
            </w:r>
          </w:p>
        </w:tc>
      </w:tr>
      <w:tr>
        <w:tc>
          <w:tcPr>
            <w:tcW w:type="dxa" w:w="3024"/>
            <w:shd w:fill="F9FBFC"/>
            <w:tcMar>
              <w:top w:w="80" w:type="dxa"/>
              <w:start w:w="100" w:type="dxa"/>
              <w:bottom w:w="80" w:type="dxa"/>
              <w:end w:w="100" w:type="dxa"/>
            </w:tcMar>
          </w:tcPr>
          <w:p>
            <w:r>
              <w:rPr>
                <w:rFonts w:ascii="Aptos" w:hAnsi="Aptos" w:eastAsia="Aptos"/>
                <w:color w:val="1D252D"/>
                <w:sz w:val="16"/>
              </w:rPr>
              <w:t>Applicability Domain</w:t>
            </w:r>
          </w:p>
        </w:tc>
        <w:tc>
          <w:tcPr>
            <w:tcW w:type="dxa" w:w="3744"/>
            <w:shd w:fill="F9FBFC"/>
            <w:tcMar>
              <w:top w:w="80" w:type="dxa"/>
              <w:start w:w="100" w:type="dxa"/>
              <w:bottom w:w="80" w:type="dxa"/>
              <w:end w:w="100" w:type="dxa"/>
            </w:tcMar>
          </w:tcPr>
          <w:p>
            <w:r>
              <w:rPr>
                <w:rFonts w:ascii="Aptos" w:hAnsi="Aptos" w:eastAsia="Aptos"/>
                <w:color w:val="1D252D"/>
                <w:sz w:val="16"/>
              </w:rPr>
              <w:t>Reliability of predictions and external query sets.</w:t>
            </w:r>
          </w:p>
        </w:tc>
        <w:tc>
          <w:tcPr>
            <w:tcW w:type="dxa" w:w="2592"/>
            <w:shd w:fill="F9FBFC"/>
            <w:tcMar>
              <w:top w:w="80" w:type="dxa"/>
              <w:start w:w="100" w:type="dxa"/>
              <w:bottom w:w="80" w:type="dxa"/>
              <w:end w:w="100" w:type="dxa"/>
            </w:tcMar>
          </w:tcPr>
          <w:p>
            <w:r>
              <w:rPr>
                <w:rFonts w:ascii="Aptos" w:hAnsi="Aptos" w:eastAsia="Aptos"/>
                <w:color w:val="1D252D"/>
                <w:sz w:val="16"/>
              </w:rPr>
              <w:t>Inside/outside-domain labels and AD summary.</w:t>
            </w:r>
          </w:p>
        </w:tc>
      </w:tr>
      <w:tr>
        <w:tc>
          <w:tcPr>
            <w:tcW w:type="dxa" w:w="3024"/>
            <w:shd w:fill="FFFFFF"/>
            <w:tcMar>
              <w:top w:w="80" w:type="dxa"/>
              <w:start w:w="100" w:type="dxa"/>
              <w:bottom w:w="80" w:type="dxa"/>
              <w:end w:w="100" w:type="dxa"/>
            </w:tcMar>
          </w:tcPr>
          <w:p>
            <w:r>
              <w:rPr>
                <w:rFonts w:ascii="Aptos" w:hAnsi="Aptos" w:eastAsia="Aptos"/>
                <w:color w:val="1D252D"/>
                <w:sz w:val="16"/>
              </w:rPr>
              <w:t>Molecular Standardization</w:t>
            </w:r>
          </w:p>
        </w:tc>
        <w:tc>
          <w:tcPr>
            <w:tcW w:type="dxa" w:w="3744"/>
            <w:shd w:fill="FFFFFF"/>
            <w:tcMar>
              <w:top w:w="80" w:type="dxa"/>
              <w:start w:w="100" w:type="dxa"/>
              <w:bottom w:w="80" w:type="dxa"/>
              <w:end w:w="100" w:type="dxa"/>
            </w:tcMar>
          </w:tcPr>
          <w:p>
            <w:r>
              <w:rPr>
                <w:rFonts w:ascii="Aptos" w:hAnsi="Aptos" w:eastAsia="Aptos"/>
                <w:color w:val="1D252D"/>
                <w:sz w:val="16"/>
              </w:rPr>
              <w:t>Data cleaning and reproducible preprocessing.</w:t>
            </w:r>
          </w:p>
        </w:tc>
        <w:tc>
          <w:tcPr>
            <w:tcW w:type="dxa" w:w="2592"/>
            <w:shd w:fill="FFFFFF"/>
            <w:tcMar>
              <w:top w:w="80" w:type="dxa"/>
              <w:start w:w="100" w:type="dxa"/>
              <w:bottom w:w="80" w:type="dxa"/>
              <w:end w:w="100" w:type="dxa"/>
            </w:tcMar>
          </w:tcPr>
          <w:p>
            <w:r>
              <w:rPr>
                <w:rFonts w:ascii="Aptos" w:hAnsi="Aptos" w:eastAsia="Aptos"/>
                <w:color w:val="1D252D"/>
                <w:sz w:val="16"/>
              </w:rPr>
              <w:t>Standardized structures and standardization report.</w:t>
            </w:r>
          </w:p>
        </w:tc>
      </w:tr>
      <w:tr>
        <w:tc>
          <w:tcPr>
            <w:tcW w:type="dxa" w:w="3024"/>
            <w:shd w:fill="F9FBFC"/>
            <w:tcMar>
              <w:top w:w="80" w:type="dxa"/>
              <w:start w:w="100" w:type="dxa"/>
              <w:bottom w:w="80" w:type="dxa"/>
              <w:end w:w="100" w:type="dxa"/>
            </w:tcMar>
          </w:tcPr>
          <w:p>
            <w:r>
              <w:rPr>
                <w:rFonts w:ascii="Aptos" w:hAnsi="Aptos" w:eastAsia="Aptos"/>
                <w:color w:val="1D252D"/>
                <w:sz w:val="16"/>
              </w:rPr>
              <w:t>ChEMBL Bioactivity Curation</w:t>
            </w:r>
          </w:p>
        </w:tc>
        <w:tc>
          <w:tcPr>
            <w:tcW w:type="dxa" w:w="3744"/>
            <w:shd w:fill="F9FBFC"/>
            <w:tcMar>
              <w:top w:w="80" w:type="dxa"/>
              <w:start w:w="100" w:type="dxa"/>
              <w:bottom w:w="80" w:type="dxa"/>
              <w:end w:w="100" w:type="dxa"/>
            </w:tcMar>
          </w:tcPr>
          <w:p>
            <w:r>
              <w:rPr>
                <w:rFonts w:ascii="Aptos" w:hAnsi="Aptos" w:eastAsia="Aptos"/>
                <w:color w:val="1D252D"/>
                <w:sz w:val="16"/>
              </w:rPr>
              <w:t>Real data retrieval and QSAR-ready dataset preparation.</w:t>
            </w:r>
          </w:p>
        </w:tc>
        <w:tc>
          <w:tcPr>
            <w:tcW w:type="dxa" w:w="2592"/>
            <w:shd w:fill="F9FBFC"/>
            <w:tcMar>
              <w:top w:w="80" w:type="dxa"/>
              <w:start w:w="100" w:type="dxa"/>
              <w:bottom w:w="80" w:type="dxa"/>
              <w:end w:w="100" w:type="dxa"/>
            </w:tcMar>
          </w:tcPr>
          <w:p>
            <w:r>
              <w:rPr>
                <w:rFonts w:ascii="Aptos" w:hAnsi="Aptos" w:eastAsia="Aptos"/>
                <w:color w:val="1D252D"/>
                <w:sz w:val="16"/>
              </w:rPr>
              <w:t>Curated activity table with provenance.</w:t>
            </w:r>
          </w:p>
        </w:tc>
      </w:tr>
      <w:tr>
        <w:tc>
          <w:tcPr>
            <w:tcW w:type="dxa" w:w="3024"/>
            <w:shd w:fill="FFFFFF"/>
            <w:tcMar>
              <w:top w:w="80" w:type="dxa"/>
              <w:start w:w="100" w:type="dxa"/>
              <w:bottom w:w="80" w:type="dxa"/>
              <w:end w:w="100" w:type="dxa"/>
            </w:tcMar>
          </w:tcPr>
          <w:p>
            <w:r>
              <w:rPr>
                <w:rFonts w:ascii="Aptos" w:hAnsi="Aptos" w:eastAsia="Aptos"/>
                <w:color w:val="1D252D"/>
                <w:sz w:val="16"/>
              </w:rPr>
              <w:t>Scaffold and Activity Cliff Analysis</w:t>
            </w:r>
          </w:p>
        </w:tc>
        <w:tc>
          <w:tcPr>
            <w:tcW w:type="dxa" w:w="3744"/>
            <w:shd w:fill="FFFFFF"/>
            <w:tcMar>
              <w:top w:w="80" w:type="dxa"/>
              <w:start w:w="100" w:type="dxa"/>
              <w:bottom w:w="80" w:type="dxa"/>
              <w:end w:w="100" w:type="dxa"/>
            </w:tcMar>
          </w:tcPr>
          <w:p>
            <w:r>
              <w:rPr>
                <w:rFonts w:ascii="Aptos" w:hAnsi="Aptos" w:eastAsia="Aptos"/>
                <w:color w:val="1D252D"/>
                <w:sz w:val="16"/>
              </w:rPr>
              <w:t>Medicinal chemistry series, validation, cliffs.</w:t>
            </w:r>
          </w:p>
        </w:tc>
        <w:tc>
          <w:tcPr>
            <w:tcW w:type="dxa" w:w="2592"/>
            <w:shd w:fill="FFFFFF"/>
            <w:tcMar>
              <w:top w:w="80" w:type="dxa"/>
              <w:start w:w="100" w:type="dxa"/>
              <w:bottom w:w="80" w:type="dxa"/>
              <w:end w:w="100" w:type="dxa"/>
            </w:tcMar>
          </w:tcPr>
          <w:p>
            <w:r>
              <w:rPr>
                <w:rFonts w:ascii="Aptos" w:hAnsi="Aptos" w:eastAsia="Aptos"/>
                <w:color w:val="1D252D"/>
                <w:sz w:val="16"/>
              </w:rPr>
              <w:t>Scaffold summaries, splits, cliff pairs.</w:t>
            </w:r>
          </w:p>
        </w:tc>
      </w:tr>
      <w:tr>
        <w:tc>
          <w:tcPr>
            <w:tcW w:type="dxa" w:w="3024"/>
            <w:shd w:fill="F9FBFC"/>
            <w:tcMar>
              <w:top w:w="80" w:type="dxa"/>
              <w:start w:w="100" w:type="dxa"/>
              <w:bottom w:w="80" w:type="dxa"/>
              <w:end w:w="100" w:type="dxa"/>
            </w:tcMar>
          </w:tcPr>
          <w:p>
            <w:r>
              <w:rPr>
                <w:rFonts w:ascii="Aptos" w:hAnsi="Aptos" w:eastAsia="Aptos"/>
                <w:color w:val="1D252D"/>
                <w:sz w:val="16"/>
              </w:rPr>
              <w:t>Supplementary Cheminformatics Workflows</w:t>
            </w:r>
          </w:p>
        </w:tc>
        <w:tc>
          <w:tcPr>
            <w:tcW w:type="dxa" w:w="3744"/>
            <w:shd w:fill="F9FBFC"/>
            <w:tcMar>
              <w:top w:w="80" w:type="dxa"/>
              <w:start w:w="100" w:type="dxa"/>
              <w:bottom w:w="80" w:type="dxa"/>
              <w:end w:w="100" w:type="dxa"/>
            </w:tcMar>
          </w:tcPr>
          <w:p>
            <w:r>
              <w:rPr>
                <w:rFonts w:ascii="Aptos" w:hAnsi="Aptos" w:eastAsia="Aptos"/>
                <w:color w:val="1D252D"/>
                <w:sz w:val="16"/>
              </w:rPr>
              <w:t>Similarity, SMARTS, diversity, filters, MMP, reactions.</w:t>
            </w:r>
          </w:p>
        </w:tc>
        <w:tc>
          <w:tcPr>
            <w:tcW w:type="dxa" w:w="2592"/>
            <w:shd w:fill="F9FBFC"/>
            <w:tcMar>
              <w:top w:w="80" w:type="dxa"/>
              <w:start w:w="100" w:type="dxa"/>
              <w:bottom w:w="80" w:type="dxa"/>
              <w:end w:w="100" w:type="dxa"/>
            </w:tcMar>
          </w:tcPr>
          <w:p>
            <w:r>
              <w:rPr>
                <w:rFonts w:ascii="Aptos" w:hAnsi="Aptos" w:eastAsia="Aptos"/>
                <w:color w:val="1D252D"/>
                <w:sz w:val="16"/>
              </w:rPr>
              <w:t>Library design and QC outputs.</w:t>
            </w:r>
          </w:p>
        </w:tc>
      </w:tr>
    </w:tbl>
    <w:p>
      <w:pPr>
        <w:spacing w:after="120"/>
      </w:pPr>
    </w:p>
    <w:p>
      <w:pPr>
        <w:spacing w:after="40"/>
      </w:pPr>
      <w:r>
        <w:rPr>
          <w:rFonts w:ascii="Aptos" w:hAnsi="Aptos" w:eastAsia="Aptos"/>
          <w:b/>
          <w:color w:val="1AA6A6"/>
          <w:sz w:val="17"/>
        </w:rPr>
        <w:t>FAST LESSON IDEAS</w:t>
      </w:r>
    </w:p>
    <w:p>
      <w:pPr>
        <w:pStyle w:val="Heading1"/>
        <w:spacing w:after="200"/>
      </w:pPr>
      <w:r>
        <w:rPr>
          <w:rFonts w:ascii="Aptos" w:hAnsi="Aptos" w:eastAsia="Aptos"/>
          <w:b/>
          <w:color w:val="12324A"/>
          <w:sz w:val="48"/>
        </w:rPr>
        <w:t>6. Ten classroom-ready examples</w:t>
      </w:r>
    </w:p>
    <w:tbl>
      <w:tblPr>
        <w:tblStyle w:val="TableGrid"/>
        <w:tblW w:type="auto" w:w="0"/>
        <w:jc w:val="center"/>
        <w:tblLayout w:type="fixed"/>
        <w:tblLook w:firstColumn="1" w:firstRow="1" w:lastColumn="0" w:lastRow="0" w:noHBand="0" w:noVBand="1" w:val="04A0"/>
      </w:tblPr>
      <w:tblGrid>
        <w:gridCol w:w="2592"/>
        <w:gridCol w:w="4608"/>
        <w:gridCol w:w="2016"/>
      </w:tblGrid>
      <w:tr>
        <w:tc>
          <w:tcPr>
            <w:tcW w:type="dxa" w:w="3456"/>
            <w:shd w:fill="F28C28"/>
            <w:tcMar>
              <w:top w:w="90" w:type="dxa"/>
              <w:start w:w="100" w:type="dxa"/>
              <w:bottom w:w="90" w:type="dxa"/>
              <w:end w:w="100" w:type="dxa"/>
            </w:tcMar>
          </w:tcPr>
          <w:p>
            <w:r>
              <w:rPr>
                <w:rFonts w:ascii="Aptos" w:hAnsi="Aptos" w:eastAsia="Aptos"/>
                <w:b/>
                <w:color w:val="FFFFFF"/>
                <w:sz w:val="17"/>
              </w:rPr>
              <w:t>Example</w:t>
            </w:r>
          </w:p>
        </w:tc>
        <w:tc>
          <w:tcPr>
            <w:tcW w:type="dxa" w:w="3456"/>
            <w:shd w:fill="F28C28"/>
            <w:tcMar>
              <w:top w:w="90" w:type="dxa"/>
              <w:start w:w="100" w:type="dxa"/>
              <w:bottom w:w="90" w:type="dxa"/>
              <w:end w:w="100" w:type="dxa"/>
            </w:tcMar>
          </w:tcPr>
          <w:p>
            <w:r>
              <w:rPr>
                <w:rFonts w:ascii="Aptos" w:hAnsi="Aptos" w:eastAsia="Aptos"/>
                <w:b/>
                <w:color w:val="FFFFFF"/>
                <w:sz w:val="17"/>
              </w:rPr>
              <w:t>Student task</w:t>
            </w:r>
          </w:p>
        </w:tc>
        <w:tc>
          <w:tcPr>
            <w:tcW w:type="dxa" w:w="3456"/>
            <w:shd w:fill="F28C28"/>
            <w:tcMar>
              <w:top w:w="90" w:type="dxa"/>
              <w:start w:w="100" w:type="dxa"/>
              <w:bottom w:w="90" w:type="dxa"/>
              <w:end w:w="100" w:type="dxa"/>
            </w:tcMar>
          </w:tcPr>
          <w:p>
            <w:r>
              <w:rPr>
                <w:rFonts w:ascii="Aptos" w:hAnsi="Aptos" w:eastAsia="Aptos"/>
                <w:b/>
                <w:color w:val="FFFFFF"/>
                <w:sz w:val="17"/>
              </w:rPr>
              <w:t>Main widgets</w:t>
            </w:r>
          </w:p>
        </w:tc>
      </w:tr>
      <w:tr>
        <w:tc>
          <w:tcPr>
            <w:tcW w:type="dxa" w:w="2592"/>
            <w:shd w:fill="F9FBFC"/>
            <w:tcMar>
              <w:top w:w="80" w:type="dxa"/>
              <w:start w:w="100" w:type="dxa"/>
              <w:bottom w:w="80" w:type="dxa"/>
              <w:end w:w="100" w:type="dxa"/>
            </w:tcMar>
          </w:tcPr>
          <w:p>
            <w:r>
              <w:rPr>
                <w:rFonts w:ascii="Aptos" w:hAnsi="Aptos" w:eastAsia="Aptos"/>
                <w:color w:val="1D252D"/>
                <w:sz w:val="16"/>
              </w:rPr>
              <w:t>1. Why preprocessing matters</w:t>
            </w:r>
          </w:p>
        </w:tc>
        <w:tc>
          <w:tcPr>
            <w:tcW w:type="dxa" w:w="4608"/>
            <w:shd w:fill="F9FBFC"/>
            <w:tcMar>
              <w:top w:w="80" w:type="dxa"/>
              <w:start w:w="100" w:type="dxa"/>
              <w:bottom w:w="80" w:type="dxa"/>
              <w:end w:w="100" w:type="dxa"/>
            </w:tcMar>
          </w:tcPr>
          <w:p>
            <w:r>
              <w:rPr>
                <w:rFonts w:ascii="Aptos" w:hAnsi="Aptos" w:eastAsia="Aptos"/>
                <w:color w:val="1D252D"/>
                <w:sz w:val="16"/>
              </w:rPr>
              <w:t>Students compare fingerprints before and after molecular standardization.</w:t>
            </w:r>
          </w:p>
        </w:tc>
        <w:tc>
          <w:tcPr>
            <w:tcW w:type="dxa" w:w="2016"/>
            <w:shd w:fill="F9FBFC"/>
            <w:tcMar>
              <w:top w:w="80" w:type="dxa"/>
              <w:start w:w="100" w:type="dxa"/>
              <w:bottom w:w="80" w:type="dxa"/>
              <w:end w:w="100" w:type="dxa"/>
            </w:tcMar>
          </w:tcPr>
          <w:p>
            <w:r>
              <w:rPr>
                <w:rFonts w:ascii="Aptos" w:hAnsi="Aptos" w:eastAsia="Aptos"/>
                <w:color w:val="1D252D"/>
                <w:sz w:val="16"/>
              </w:rPr>
              <w:t>Mol Standardizer + Fingerprint Generator</w:t>
            </w:r>
          </w:p>
        </w:tc>
      </w:tr>
      <w:tr>
        <w:tc>
          <w:tcPr>
            <w:tcW w:type="dxa" w:w="2592"/>
            <w:shd w:fill="FFFFFF"/>
            <w:tcMar>
              <w:top w:w="80" w:type="dxa"/>
              <w:start w:w="100" w:type="dxa"/>
              <w:bottom w:w="80" w:type="dxa"/>
              <w:end w:w="100" w:type="dxa"/>
            </w:tcMar>
          </w:tcPr>
          <w:p>
            <w:r>
              <w:rPr>
                <w:rFonts w:ascii="Aptos" w:hAnsi="Aptos" w:eastAsia="Aptos"/>
                <w:color w:val="1D252D"/>
                <w:sz w:val="16"/>
              </w:rPr>
              <w:t>2. Heterocycles in drugs</w:t>
            </w:r>
          </w:p>
        </w:tc>
        <w:tc>
          <w:tcPr>
            <w:tcW w:type="dxa" w:w="4608"/>
            <w:shd w:fill="FFFFFF"/>
            <w:tcMar>
              <w:top w:w="80" w:type="dxa"/>
              <w:start w:w="100" w:type="dxa"/>
              <w:bottom w:w="80" w:type="dxa"/>
              <w:end w:w="100" w:type="dxa"/>
            </w:tcMar>
          </w:tcPr>
          <w:p>
            <w:r>
              <w:rPr>
                <w:rFonts w:ascii="Aptos" w:hAnsi="Aptos" w:eastAsia="Aptos"/>
                <w:color w:val="1D252D"/>
                <w:sz w:val="16"/>
              </w:rPr>
              <w:t>Students identify matched cyclic registry entries in drug-like molecules.</w:t>
            </w:r>
          </w:p>
        </w:tc>
        <w:tc>
          <w:tcPr>
            <w:tcW w:type="dxa" w:w="2016"/>
            <w:shd w:fill="FFFFFF"/>
            <w:tcMar>
              <w:top w:w="80" w:type="dxa"/>
              <w:start w:w="100" w:type="dxa"/>
              <w:bottom w:w="80" w:type="dxa"/>
              <w:end w:w="100" w:type="dxa"/>
            </w:tcMar>
          </w:tcPr>
          <w:p>
            <w:r>
              <w:rPr>
                <w:rFonts w:ascii="Aptos" w:hAnsi="Aptos" w:eastAsia="Aptos"/>
                <w:color w:val="1D252D"/>
                <w:sz w:val="16"/>
              </w:rPr>
              <w:t>Cyclic Registry Fingerprint</w:t>
            </w:r>
          </w:p>
        </w:tc>
      </w:tr>
      <w:tr>
        <w:tc>
          <w:tcPr>
            <w:tcW w:type="dxa" w:w="2592"/>
            <w:shd w:fill="F9FBFC"/>
            <w:tcMar>
              <w:top w:w="80" w:type="dxa"/>
              <w:start w:w="100" w:type="dxa"/>
              <w:bottom w:w="80" w:type="dxa"/>
              <w:end w:w="100" w:type="dxa"/>
            </w:tcMar>
          </w:tcPr>
          <w:p>
            <w:r>
              <w:rPr>
                <w:rFonts w:ascii="Aptos" w:hAnsi="Aptos" w:eastAsia="Aptos"/>
                <w:color w:val="1D252D"/>
                <w:sz w:val="16"/>
              </w:rPr>
              <w:t>3. Aromatic vs Kekule forms</w:t>
            </w:r>
          </w:p>
        </w:tc>
        <w:tc>
          <w:tcPr>
            <w:tcW w:type="dxa" w:w="4608"/>
            <w:shd w:fill="F9FBFC"/>
            <w:tcMar>
              <w:top w:w="80" w:type="dxa"/>
              <w:start w:w="100" w:type="dxa"/>
              <w:bottom w:w="80" w:type="dxa"/>
              <w:end w:w="100" w:type="dxa"/>
            </w:tcMar>
          </w:tcPr>
          <w:p>
            <w:r>
              <w:rPr>
                <w:rFonts w:ascii="Aptos" w:hAnsi="Aptos" w:eastAsia="Aptos"/>
                <w:color w:val="1D252D"/>
                <w:sz w:val="16"/>
              </w:rPr>
              <w:t>Students test whether different SMILES representations trigger similar motif matches.</w:t>
            </w:r>
          </w:p>
        </w:tc>
        <w:tc>
          <w:tcPr>
            <w:tcW w:type="dxa" w:w="2016"/>
            <w:shd w:fill="F9FBFC"/>
            <w:tcMar>
              <w:top w:w="80" w:type="dxa"/>
              <w:start w:w="100" w:type="dxa"/>
              <w:bottom w:w="80" w:type="dxa"/>
              <w:end w:w="100" w:type="dxa"/>
            </w:tcMar>
          </w:tcPr>
          <w:p>
            <w:r>
              <w:rPr>
                <w:rFonts w:ascii="Aptos" w:hAnsi="Aptos" w:eastAsia="Aptos"/>
                <w:color w:val="1D252D"/>
                <w:sz w:val="16"/>
              </w:rPr>
              <w:t>Cyclic Registry Fingerprint</w:t>
            </w:r>
          </w:p>
        </w:tc>
      </w:tr>
      <w:tr>
        <w:tc>
          <w:tcPr>
            <w:tcW w:type="dxa" w:w="2592"/>
            <w:shd w:fill="FFFFFF"/>
            <w:tcMar>
              <w:top w:w="80" w:type="dxa"/>
              <w:start w:w="100" w:type="dxa"/>
              <w:bottom w:w="80" w:type="dxa"/>
              <w:end w:w="100" w:type="dxa"/>
            </w:tcMar>
          </w:tcPr>
          <w:p>
            <w:r>
              <w:rPr>
                <w:rFonts w:ascii="Aptos" w:hAnsi="Aptos" w:eastAsia="Aptos"/>
                <w:color w:val="1D252D"/>
                <w:sz w:val="16"/>
              </w:rPr>
              <w:t>4. Descriptor meaning</w:t>
            </w:r>
          </w:p>
        </w:tc>
        <w:tc>
          <w:tcPr>
            <w:tcW w:type="dxa" w:w="4608"/>
            <w:shd w:fill="FFFFFF"/>
            <w:tcMar>
              <w:top w:w="80" w:type="dxa"/>
              <w:start w:w="100" w:type="dxa"/>
              <w:bottom w:w="80" w:type="dxa"/>
              <w:end w:w="100" w:type="dxa"/>
            </w:tcMar>
          </w:tcPr>
          <w:p>
            <w:r>
              <w:rPr>
                <w:rFonts w:ascii="Aptos" w:hAnsi="Aptos" w:eastAsia="Aptos"/>
                <w:color w:val="1D252D"/>
                <w:sz w:val="16"/>
              </w:rPr>
              <w:t>Students connect logP, TPSA, HBD/HBA, and molecular weight with chemical intuition.</w:t>
            </w:r>
          </w:p>
        </w:tc>
        <w:tc>
          <w:tcPr>
            <w:tcW w:type="dxa" w:w="2016"/>
            <w:shd w:fill="FFFFFF"/>
            <w:tcMar>
              <w:top w:w="80" w:type="dxa"/>
              <w:start w:w="100" w:type="dxa"/>
              <w:bottom w:w="80" w:type="dxa"/>
              <w:end w:w="100" w:type="dxa"/>
            </w:tcMar>
          </w:tcPr>
          <w:p>
            <w:r>
              <w:rPr>
                <w:rFonts w:ascii="Aptos" w:hAnsi="Aptos" w:eastAsia="Aptos"/>
                <w:color w:val="1D252D"/>
                <w:sz w:val="16"/>
              </w:rPr>
              <w:t>Mol Descriptors 2</w:t>
            </w:r>
          </w:p>
        </w:tc>
      </w:tr>
      <w:tr>
        <w:tc>
          <w:tcPr>
            <w:tcW w:type="dxa" w:w="2592"/>
            <w:shd w:fill="F9FBFC"/>
            <w:tcMar>
              <w:top w:w="80" w:type="dxa"/>
              <w:start w:w="100" w:type="dxa"/>
              <w:bottom w:w="80" w:type="dxa"/>
              <w:end w:w="100" w:type="dxa"/>
            </w:tcMar>
          </w:tcPr>
          <w:p>
            <w:r>
              <w:rPr>
                <w:rFonts w:ascii="Aptos" w:hAnsi="Aptos" w:eastAsia="Aptos"/>
                <w:color w:val="1D252D"/>
                <w:sz w:val="16"/>
              </w:rPr>
              <w:t>5. First QSAR model</w:t>
            </w:r>
          </w:p>
        </w:tc>
        <w:tc>
          <w:tcPr>
            <w:tcW w:type="dxa" w:w="4608"/>
            <w:shd w:fill="F9FBFC"/>
            <w:tcMar>
              <w:top w:w="80" w:type="dxa"/>
              <w:start w:w="100" w:type="dxa"/>
              <w:bottom w:w="80" w:type="dxa"/>
              <w:end w:w="100" w:type="dxa"/>
            </w:tcMar>
          </w:tcPr>
          <w:p>
            <w:r>
              <w:rPr>
                <w:rFonts w:ascii="Aptos" w:hAnsi="Aptos" w:eastAsia="Aptos"/>
                <w:color w:val="1D252D"/>
                <w:sz w:val="16"/>
              </w:rPr>
              <w:t>Students build a simple regression model and evaluate baseline performance.</w:t>
            </w:r>
          </w:p>
        </w:tc>
        <w:tc>
          <w:tcPr>
            <w:tcW w:type="dxa" w:w="2016"/>
            <w:shd w:fill="F9FBFC"/>
            <w:tcMar>
              <w:top w:w="80" w:type="dxa"/>
              <w:start w:w="100" w:type="dxa"/>
              <w:bottom w:w="80" w:type="dxa"/>
              <w:end w:w="100" w:type="dxa"/>
            </w:tcMar>
          </w:tcPr>
          <w:p>
            <w:r>
              <w:rPr>
                <w:rFonts w:ascii="Aptos" w:hAnsi="Aptos" w:eastAsia="Aptos"/>
                <w:color w:val="1D252D"/>
                <w:sz w:val="16"/>
              </w:rPr>
              <w:t>QSAR Regression</w:t>
            </w:r>
          </w:p>
        </w:tc>
      </w:tr>
      <w:tr>
        <w:tc>
          <w:tcPr>
            <w:tcW w:type="dxa" w:w="2592"/>
            <w:shd w:fill="FFFFFF"/>
            <w:tcMar>
              <w:top w:w="80" w:type="dxa"/>
              <w:start w:w="100" w:type="dxa"/>
              <w:bottom w:w="80" w:type="dxa"/>
              <w:end w:w="100" w:type="dxa"/>
            </w:tcMar>
          </w:tcPr>
          <w:p>
            <w:r>
              <w:rPr>
                <w:rFonts w:ascii="Aptos" w:hAnsi="Aptos" w:eastAsia="Aptos"/>
                <w:color w:val="1D252D"/>
                <w:sz w:val="16"/>
              </w:rPr>
              <w:t>6. Scaffold split challenge</w:t>
            </w:r>
          </w:p>
        </w:tc>
        <w:tc>
          <w:tcPr>
            <w:tcW w:type="dxa" w:w="4608"/>
            <w:shd w:fill="FFFFFF"/>
            <w:tcMar>
              <w:top w:w="80" w:type="dxa"/>
              <w:start w:w="100" w:type="dxa"/>
              <w:bottom w:w="80" w:type="dxa"/>
              <w:end w:w="100" w:type="dxa"/>
            </w:tcMar>
          </w:tcPr>
          <w:p>
            <w:r>
              <w:rPr>
                <w:rFonts w:ascii="Aptos" w:hAnsi="Aptos" w:eastAsia="Aptos"/>
                <w:color w:val="1D252D"/>
                <w:sz w:val="16"/>
              </w:rPr>
              <w:t>Students compare random validation with scaffold-aware validation.</w:t>
            </w:r>
          </w:p>
        </w:tc>
        <w:tc>
          <w:tcPr>
            <w:tcW w:type="dxa" w:w="2016"/>
            <w:shd w:fill="FFFFFF"/>
            <w:tcMar>
              <w:top w:w="80" w:type="dxa"/>
              <w:start w:w="100" w:type="dxa"/>
              <w:bottom w:w="80" w:type="dxa"/>
              <w:end w:w="100" w:type="dxa"/>
            </w:tcMar>
          </w:tcPr>
          <w:p>
            <w:r>
              <w:rPr>
                <w:rFonts w:ascii="Aptos" w:hAnsi="Aptos" w:eastAsia="Aptos"/>
                <w:color w:val="1D252D"/>
                <w:sz w:val="16"/>
              </w:rPr>
              <w:t>Scaffold Splitter</w:t>
            </w:r>
          </w:p>
        </w:tc>
      </w:tr>
      <w:tr>
        <w:tc>
          <w:tcPr>
            <w:tcW w:type="dxa" w:w="2592"/>
            <w:shd w:fill="F9FBFC"/>
            <w:tcMar>
              <w:top w:w="80" w:type="dxa"/>
              <w:start w:w="100" w:type="dxa"/>
              <w:bottom w:w="80" w:type="dxa"/>
              <w:end w:w="100" w:type="dxa"/>
            </w:tcMar>
          </w:tcPr>
          <w:p>
            <w:r>
              <w:rPr>
                <w:rFonts w:ascii="Aptos" w:hAnsi="Aptos" w:eastAsia="Aptos"/>
                <w:color w:val="1D252D"/>
                <w:sz w:val="16"/>
              </w:rPr>
              <w:t>7. Activity cliffs</w:t>
            </w:r>
          </w:p>
        </w:tc>
        <w:tc>
          <w:tcPr>
            <w:tcW w:type="dxa" w:w="4608"/>
            <w:shd w:fill="F9FBFC"/>
            <w:tcMar>
              <w:top w:w="80" w:type="dxa"/>
              <w:start w:w="100" w:type="dxa"/>
              <w:bottom w:w="80" w:type="dxa"/>
              <w:end w:w="100" w:type="dxa"/>
            </w:tcMar>
          </w:tcPr>
          <w:p>
            <w:r>
              <w:rPr>
                <w:rFonts w:ascii="Aptos" w:hAnsi="Aptos" w:eastAsia="Aptos"/>
                <w:color w:val="1D252D"/>
                <w:sz w:val="16"/>
              </w:rPr>
              <w:t>Students find similar molecules with large activity differences.</w:t>
            </w:r>
          </w:p>
        </w:tc>
        <w:tc>
          <w:tcPr>
            <w:tcW w:type="dxa" w:w="2016"/>
            <w:shd w:fill="F9FBFC"/>
            <w:tcMar>
              <w:top w:w="80" w:type="dxa"/>
              <w:start w:w="100" w:type="dxa"/>
              <w:bottom w:w="80" w:type="dxa"/>
              <w:end w:w="100" w:type="dxa"/>
            </w:tcMar>
          </w:tcPr>
          <w:p>
            <w:r>
              <w:rPr>
                <w:rFonts w:ascii="Aptos" w:hAnsi="Aptos" w:eastAsia="Aptos"/>
                <w:color w:val="1D252D"/>
                <w:sz w:val="16"/>
              </w:rPr>
              <w:t>Activity Cliff Finder</w:t>
            </w:r>
          </w:p>
        </w:tc>
      </w:tr>
      <w:tr>
        <w:tc>
          <w:tcPr>
            <w:tcW w:type="dxa" w:w="2592"/>
            <w:shd w:fill="FFFFFF"/>
            <w:tcMar>
              <w:top w:w="80" w:type="dxa"/>
              <w:start w:w="100" w:type="dxa"/>
              <w:bottom w:w="80" w:type="dxa"/>
              <w:end w:w="100" w:type="dxa"/>
            </w:tcMar>
          </w:tcPr>
          <w:p>
            <w:r>
              <w:rPr>
                <w:rFonts w:ascii="Aptos" w:hAnsi="Aptos" w:eastAsia="Aptos"/>
                <w:color w:val="1D252D"/>
                <w:sz w:val="16"/>
              </w:rPr>
              <w:t>8. Prediction reliability</w:t>
            </w:r>
          </w:p>
        </w:tc>
        <w:tc>
          <w:tcPr>
            <w:tcW w:type="dxa" w:w="4608"/>
            <w:shd w:fill="FFFFFF"/>
            <w:tcMar>
              <w:top w:w="80" w:type="dxa"/>
              <w:start w:w="100" w:type="dxa"/>
              <w:bottom w:w="80" w:type="dxa"/>
              <w:end w:w="100" w:type="dxa"/>
            </w:tcMar>
          </w:tcPr>
          <w:p>
            <w:r>
              <w:rPr>
                <w:rFonts w:ascii="Aptos" w:hAnsi="Aptos" w:eastAsia="Aptos"/>
                <w:color w:val="1D252D"/>
                <w:sz w:val="16"/>
              </w:rPr>
              <w:t>Students decide whether external predictions are inside the applicability domain.</w:t>
            </w:r>
          </w:p>
        </w:tc>
        <w:tc>
          <w:tcPr>
            <w:tcW w:type="dxa" w:w="2016"/>
            <w:shd w:fill="FFFFFF"/>
            <w:tcMar>
              <w:top w:w="80" w:type="dxa"/>
              <w:start w:w="100" w:type="dxa"/>
              <w:bottom w:w="80" w:type="dxa"/>
              <w:end w:w="100" w:type="dxa"/>
            </w:tcMar>
          </w:tcPr>
          <w:p>
            <w:r>
              <w:rPr>
                <w:rFonts w:ascii="Aptos" w:hAnsi="Aptos" w:eastAsia="Aptos"/>
                <w:color w:val="1D252D"/>
                <w:sz w:val="16"/>
              </w:rPr>
              <w:t>Applicability Domain</w:t>
            </w:r>
          </w:p>
        </w:tc>
      </w:tr>
      <w:tr>
        <w:tc>
          <w:tcPr>
            <w:tcW w:type="dxa" w:w="2592"/>
            <w:shd w:fill="F9FBFC"/>
            <w:tcMar>
              <w:top w:w="80" w:type="dxa"/>
              <w:start w:w="100" w:type="dxa"/>
              <w:bottom w:w="80" w:type="dxa"/>
              <w:end w:w="100" w:type="dxa"/>
            </w:tcMar>
          </w:tcPr>
          <w:p>
            <w:r>
              <w:rPr>
                <w:rFonts w:ascii="Aptos" w:hAnsi="Aptos" w:eastAsia="Aptos"/>
                <w:color w:val="1D252D"/>
                <w:sz w:val="16"/>
              </w:rPr>
              <w:t>9. ChEMBL curation</w:t>
            </w:r>
          </w:p>
        </w:tc>
        <w:tc>
          <w:tcPr>
            <w:tcW w:type="dxa" w:w="4608"/>
            <w:shd w:fill="F9FBFC"/>
            <w:tcMar>
              <w:top w:w="80" w:type="dxa"/>
              <w:start w:w="100" w:type="dxa"/>
              <w:bottom w:w="80" w:type="dxa"/>
              <w:end w:w="100" w:type="dxa"/>
            </w:tcMar>
          </w:tcPr>
          <w:p>
            <w:r>
              <w:rPr>
                <w:rFonts w:ascii="Aptos" w:hAnsi="Aptos" w:eastAsia="Aptos"/>
                <w:color w:val="1D252D"/>
                <w:sz w:val="16"/>
              </w:rPr>
              <w:t>Students filter bioactivity data and document curation decisions.</w:t>
            </w:r>
          </w:p>
        </w:tc>
        <w:tc>
          <w:tcPr>
            <w:tcW w:type="dxa" w:w="2016"/>
            <w:shd w:fill="F9FBFC"/>
            <w:tcMar>
              <w:top w:w="80" w:type="dxa"/>
              <w:start w:w="100" w:type="dxa"/>
              <w:bottom w:w="80" w:type="dxa"/>
              <w:end w:w="100" w:type="dxa"/>
            </w:tcMar>
          </w:tcPr>
          <w:p>
            <w:r>
              <w:rPr>
                <w:rFonts w:ascii="Aptos" w:hAnsi="Aptos" w:eastAsia="Aptos"/>
                <w:color w:val="1D252D"/>
                <w:sz w:val="16"/>
              </w:rPr>
              <w:t>ChEMBL widgets + Mol Standardizer</w:t>
            </w:r>
          </w:p>
        </w:tc>
      </w:tr>
      <w:tr>
        <w:tc>
          <w:tcPr>
            <w:tcW w:type="dxa" w:w="2592"/>
            <w:shd w:fill="FFFFFF"/>
            <w:tcMar>
              <w:top w:w="80" w:type="dxa"/>
              <w:start w:w="100" w:type="dxa"/>
              <w:bottom w:w="80" w:type="dxa"/>
              <w:end w:w="100" w:type="dxa"/>
            </w:tcMar>
          </w:tcPr>
          <w:p>
            <w:r>
              <w:rPr>
                <w:rFonts w:ascii="Aptos" w:hAnsi="Aptos" w:eastAsia="Aptos"/>
                <w:color w:val="1D252D"/>
                <w:sz w:val="16"/>
              </w:rPr>
              <w:t>10. Library design</w:t>
            </w:r>
          </w:p>
        </w:tc>
        <w:tc>
          <w:tcPr>
            <w:tcW w:type="dxa" w:w="4608"/>
            <w:shd w:fill="FFFFFF"/>
            <w:tcMar>
              <w:top w:w="80" w:type="dxa"/>
              <w:start w:w="100" w:type="dxa"/>
              <w:bottom w:w="80" w:type="dxa"/>
              <w:end w:w="100" w:type="dxa"/>
            </w:tcMar>
          </w:tcPr>
          <w:p>
            <w:r>
              <w:rPr>
                <w:rFonts w:ascii="Aptos" w:hAnsi="Aptos" w:eastAsia="Aptos"/>
                <w:color w:val="1D252D"/>
                <w:sz w:val="16"/>
              </w:rPr>
              <w:t>Students combine filters, diversity picking, and motif analysis to select compounds.</w:t>
            </w:r>
          </w:p>
        </w:tc>
        <w:tc>
          <w:tcPr>
            <w:tcW w:type="dxa" w:w="2016"/>
            <w:shd w:fill="FFFFFF"/>
            <w:tcMar>
              <w:top w:w="80" w:type="dxa"/>
              <w:start w:w="100" w:type="dxa"/>
              <w:bottom w:w="80" w:type="dxa"/>
              <w:end w:w="100" w:type="dxa"/>
            </w:tcMar>
          </w:tcPr>
          <w:p>
            <w:r>
              <w:rPr>
                <w:rFonts w:ascii="Aptos" w:hAnsi="Aptos" w:eastAsia="Aptos"/>
                <w:color w:val="1D252D"/>
                <w:sz w:val="16"/>
              </w:rPr>
              <w:t>Drug Filter + Diversity Picker + Cyclic Registry</w:t>
            </w:r>
          </w:p>
        </w:tc>
      </w:tr>
    </w:tbl>
    <w:p>
      <w:pPr>
        <w:spacing w:after="120"/>
      </w:pPr>
    </w:p>
    <w:p>
      <w:pPr>
        <w:spacing w:after="40"/>
      </w:pPr>
      <w:r>
        <w:rPr>
          <w:rFonts w:ascii="Aptos" w:hAnsi="Aptos" w:eastAsia="Aptos"/>
          <w:b/>
          <w:color w:val="1AA6A6"/>
          <w:sz w:val="17"/>
        </w:rPr>
        <w:t>EVALUATE REASONING, NOT CLICKING</w:t>
      </w:r>
    </w:p>
    <w:p>
      <w:pPr>
        <w:pStyle w:val="Heading1"/>
        <w:spacing w:after="200"/>
      </w:pPr>
      <w:r>
        <w:rPr>
          <w:rFonts w:ascii="Aptos" w:hAnsi="Aptos" w:eastAsia="Aptos"/>
          <w:b/>
          <w:color w:val="12324A"/>
          <w:sz w:val="48"/>
        </w:rPr>
        <w:t>7. Assessment and rubrics</w:t>
      </w:r>
    </w:p>
    <w:p>
      <w:pPr>
        <w:spacing w:after="120" w:line="259" w:lineRule="auto"/>
      </w:pPr>
      <w:r>
        <w:rPr>
          <w:rFonts w:ascii="Aptos" w:hAnsi="Aptos" w:eastAsia="Aptos"/>
          <w:color w:val="1D252D"/>
          <w:sz w:val="20"/>
        </w:rPr>
        <w:t>Assessment should reward chemical reasoning, methodological transparency, and awareness of limitations. A visually correct workflow is not sufficient if students cannot explain why each step is used.</w:t>
      </w:r>
    </w:p>
    <w:p>
      <w:pPr>
        <w:pStyle w:val="Heading2"/>
      </w:pPr>
      <w:r>
        <w:rPr>
          <w:rFonts w:ascii="Aptos" w:hAnsi="Aptos" w:eastAsia="Aptos"/>
          <w:b/>
          <w:color w:val="12324A"/>
          <w:sz w:val="30"/>
        </w:rPr>
        <w:t>General 15-point rubric</w:t>
      </w:r>
    </w:p>
    <w:tbl>
      <w:tblPr>
        <w:tblStyle w:val="TableGrid"/>
        <w:tblW w:type="auto" w:w="0"/>
        <w:jc w:val="center"/>
        <w:tblLayout w:type="fixed"/>
        <w:tblLook w:firstColumn="1" w:firstRow="1" w:lastColumn="0" w:lastRow="0" w:noHBand="0" w:noVBand="1" w:val="04A0"/>
      </w:tblPr>
      <w:tblGrid>
        <w:gridCol w:w="2160"/>
        <w:gridCol w:w="1584"/>
        <w:gridCol w:w="1728"/>
        <w:gridCol w:w="2304"/>
        <w:gridCol w:w="2880"/>
      </w:tblGrid>
      <w:tr>
        <w:tc>
          <w:tcPr>
            <w:tcW w:type="dxa" w:w="2074"/>
            <w:shd w:fill="12324A"/>
            <w:tcMar>
              <w:top w:w="90" w:type="dxa"/>
              <w:start w:w="100" w:type="dxa"/>
              <w:bottom w:w="90" w:type="dxa"/>
              <w:end w:w="100" w:type="dxa"/>
            </w:tcMar>
          </w:tcPr>
          <w:p>
            <w:r>
              <w:rPr>
                <w:rFonts w:ascii="Aptos" w:hAnsi="Aptos" w:eastAsia="Aptos"/>
                <w:b/>
                <w:color w:val="FFFFFF"/>
                <w:sz w:val="17"/>
              </w:rPr>
              <w:t>Criterion</w:t>
            </w:r>
          </w:p>
        </w:tc>
        <w:tc>
          <w:tcPr>
            <w:tcW w:type="dxa" w:w="2074"/>
            <w:shd w:fill="12324A"/>
            <w:tcMar>
              <w:top w:w="90" w:type="dxa"/>
              <w:start w:w="100" w:type="dxa"/>
              <w:bottom w:w="90" w:type="dxa"/>
              <w:end w:w="100" w:type="dxa"/>
            </w:tcMar>
          </w:tcPr>
          <w:p>
            <w:r>
              <w:rPr>
                <w:rFonts w:ascii="Aptos" w:hAnsi="Aptos" w:eastAsia="Aptos"/>
                <w:b/>
                <w:color w:val="FFFFFF"/>
                <w:sz w:val="17"/>
              </w:rPr>
              <w:t>0</w:t>
            </w:r>
          </w:p>
        </w:tc>
        <w:tc>
          <w:tcPr>
            <w:tcW w:type="dxa" w:w="2074"/>
            <w:shd w:fill="12324A"/>
            <w:tcMar>
              <w:top w:w="90" w:type="dxa"/>
              <w:start w:w="100" w:type="dxa"/>
              <w:bottom w:w="90" w:type="dxa"/>
              <w:end w:w="100" w:type="dxa"/>
            </w:tcMar>
          </w:tcPr>
          <w:p>
            <w:r>
              <w:rPr>
                <w:rFonts w:ascii="Aptos" w:hAnsi="Aptos" w:eastAsia="Aptos"/>
                <w:b/>
                <w:color w:val="FFFFFF"/>
                <w:sz w:val="17"/>
              </w:rPr>
              <w:t>1</w:t>
            </w:r>
          </w:p>
        </w:tc>
        <w:tc>
          <w:tcPr>
            <w:tcW w:type="dxa" w:w="2074"/>
            <w:shd w:fill="12324A"/>
            <w:tcMar>
              <w:top w:w="90" w:type="dxa"/>
              <w:start w:w="100" w:type="dxa"/>
              <w:bottom w:w="90" w:type="dxa"/>
              <w:end w:w="100" w:type="dxa"/>
            </w:tcMar>
          </w:tcPr>
          <w:p>
            <w:r>
              <w:rPr>
                <w:rFonts w:ascii="Aptos" w:hAnsi="Aptos" w:eastAsia="Aptos"/>
                <w:b/>
                <w:color w:val="FFFFFF"/>
                <w:sz w:val="17"/>
              </w:rPr>
              <w:t>2</w:t>
            </w:r>
          </w:p>
        </w:tc>
        <w:tc>
          <w:tcPr>
            <w:tcW w:type="dxa" w:w="2074"/>
            <w:shd w:fill="12324A"/>
            <w:tcMar>
              <w:top w:w="90" w:type="dxa"/>
              <w:start w:w="100" w:type="dxa"/>
              <w:bottom w:w="90" w:type="dxa"/>
              <w:end w:w="100" w:type="dxa"/>
            </w:tcMar>
          </w:tcPr>
          <w:p>
            <w:r>
              <w:rPr>
                <w:rFonts w:ascii="Aptos" w:hAnsi="Aptos" w:eastAsia="Aptos"/>
                <w:b/>
                <w:color w:val="FFFFFF"/>
                <w:sz w:val="17"/>
              </w:rPr>
              <w:t>3</w:t>
            </w:r>
          </w:p>
        </w:tc>
      </w:tr>
      <w:tr>
        <w:tc>
          <w:tcPr>
            <w:tcW w:type="dxa" w:w="2160"/>
            <w:shd w:fill="F9FBFC"/>
            <w:tcMar>
              <w:top w:w="80" w:type="dxa"/>
              <w:start w:w="100" w:type="dxa"/>
              <w:bottom w:w="80" w:type="dxa"/>
              <w:end w:w="100" w:type="dxa"/>
            </w:tcMar>
          </w:tcPr>
          <w:p>
            <w:r>
              <w:rPr>
                <w:rFonts w:ascii="Aptos" w:hAnsi="Aptos" w:eastAsia="Aptos"/>
                <w:color w:val="1D252D"/>
                <w:sz w:val="16"/>
              </w:rPr>
              <w:t>Data provenance</w:t>
            </w:r>
          </w:p>
        </w:tc>
        <w:tc>
          <w:tcPr>
            <w:tcW w:type="dxa" w:w="1584"/>
            <w:shd w:fill="F9FBFC"/>
            <w:tcMar>
              <w:top w:w="80" w:type="dxa"/>
              <w:start w:w="100" w:type="dxa"/>
              <w:bottom w:w="80" w:type="dxa"/>
              <w:end w:w="100" w:type="dxa"/>
            </w:tcMar>
          </w:tcPr>
          <w:p>
            <w:r>
              <w:rPr>
                <w:rFonts w:ascii="Aptos" w:hAnsi="Aptos" w:eastAsia="Aptos"/>
                <w:color w:val="1D252D"/>
                <w:sz w:val="16"/>
              </w:rPr>
              <w:t>Absent</w:t>
            </w:r>
          </w:p>
        </w:tc>
        <w:tc>
          <w:tcPr>
            <w:tcW w:type="dxa" w:w="1728"/>
            <w:shd w:fill="F9FBFC"/>
            <w:tcMar>
              <w:top w:w="80" w:type="dxa"/>
              <w:start w:w="100" w:type="dxa"/>
              <w:bottom w:w="80" w:type="dxa"/>
              <w:end w:w="100" w:type="dxa"/>
            </w:tcMar>
          </w:tcPr>
          <w:p>
            <w:r>
              <w:rPr>
                <w:rFonts w:ascii="Aptos" w:hAnsi="Aptos" w:eastAsia="Aptos"/>
                <w:color w:val="1D252D"/>
                <w:sz w:val="16"/>
              </w:rPr>
              <w:t>Source named only</w:t>
            </w:r>
          </w:p>
        </w:tc>
        <w:tc>
          <w:tcPr>
            <w:tcW w:type="dxa" w:w="2304"/>
            <w:shd w:fill="F9FBFC"/>
            <w:tcMar>
              <w:top w:w="80" w:type="dxa"/>
              <w:start w:w="100" w:type="dxa"/>
              <w:bottom w:w="80" w:type="dxa"/>
              <w:end w:w="100" w:type="dxa"/>
            </w:tcMar>
          </w:tcPr>
          <w:p>
            <w:r>
              <w:rPr>
                <w:rFonts w:ascii="Aptos" w:hAnsi="Aptos" w:eastAsia="Aptos"/>
                <w:color w:val="1D252D"/>
                <w:sz w:val="16"/>
              </w:rPr>
              <w:t>Source and key filters listed</w:t>
            </w:r>
          </w:p>
        </w:tc>
        <w:tc>
          <w:tcPr>
            <w:tcW w:type="dxa" w:w="2880"/>
            <w:shd w:fill="F9FBFC"/>
            <w:tcMar>
              <w:top w:w="80" w:type="dxa"/>
              <w:start w:w="100" w:type="dxa"/>
              <w:bottom w:w="80" w:type="dxa"/>
              <w:end w:w="100" w:type="dxa"/>
            </w:tcMar>
          </w:tcPr>
          <w:p>
            <w:r>
              <w:rPr>
                <w:rFonts w:ascii="Aptos" w:hAnsi="Aptos" w:eastAsia="Aptos"/>
                <w:color w:val="1D252D"/>
                <w:sz w:val="16"/>
              </w:rPr>
              <w:t>Complete source, filters, version/date, and limitations</w:t>
            </w:r>
          </w:p>
        </w:tc>
      </w:tr>
      <w:tr>
        <w:tc>
          <w:tcPr>
            <w:tcW w:type="dxa" w:w="2160"/>
            <w:shd w:fill="FFFFFF"/>
            <w:tcMar>
              <w:top w:w="80" w:type="dxa"/>
              <w:start w:w="100" w:type="dxa"/>
              <w:bottom w:w="80" w:type="dxa"/>
              <w:end w:w="100" w:type="dxa"/>
            </w:tcMar>
          </w:tcPr>
          <w:p>
            <w:r>
              <w:rPr>
                <w:rFonts w:ascii="Aptos" w:hAnsi="Aptos" w:eastAsia="Aptos"/>
                <w:color w:val="1D252D"/>
                <w:sz w:val="16"/>
              </w:rPr>
              <w:t>Workflow construction</w:t>
            </w:r>
          </w:p>
        </w:tc>
        <w:tc>
          <w:tcPr>
            <w:tcW w:type="dxa" w:w="1584"/>
            <w:shd w:fill="FFFFFF"/>
            <w:tcMar>
              <w:top w:w="80" w:type="dxa"/>
              <w:start w:w="100" w:type="dxa"/>
              <w:bottom w:w="80" w:type="dxa"/>
              <w:end w:w="100" w:type="dxa"/>
            </w:tcMar>
          </w:tcPr>
          <w:p>
            <w:r>
              <w:rPr>
                <w:rFonts w:ascii="Aptos" w:hAnsi="Aptos" w:eastAsia="Aptos"/>
                <w:color w:val="1D252D"/>
                <w:sz w:val="16"/>
              </w:rPr>
              <w:t>Missing</w:t>
            </w:r>
          </w:p>
        </w:tc>
        <w:tc>
          <w:tcPr>
            <w:tcW w:type="dxa" w:w="1728"/>
            <w:shd w:fill="FFFFFF"/>
            <w:tcMar>
              <w:top w:w="80" w:type="dxa"/>
              <w:start w:w="100" w:type="dxa"/>
              <w:bottom w:w="80" w:type="dxa"/>
              <w:end w:w="100" w:type="dxa"/>
            </w:tcMar>
          </w:tcPr>
          <w:p>
            <w:r>
              <w:rPr>
                <w:rFonts w:ascii="Aptos" w:hAnsi="Aptos" w:eastAsia="Aptos"/>
                <w:color w:val="1D252D"/>
                <w:sz w:val="16"/>
              </w:rPr>
              <w:t>Partly incorrect</w:t>
            </w:r>
          </w:p>
        </w:tc>
        <w:tc>
          <w:tcPr>
            <w:tcW w:type="dxa" w:w="2304"/>
            <w:shd w:fill="FFFFFF"/>
            <w:tcMar>
              <w:top w:w="80" w:type="dxa"/>
              <w:start w:w="100" w:type="dxa"/>
              <w:bottom w:w="80" w:type="dxa"/>
              <w:end w:w="100" w:type="dxa"/>
            </w:tcMar>
          </w:tcPr>
          <w:p>
            <w:r>
              <w:rPr>
                <w:rFonts w:ascii="Aptos" w:hAnsi="Aptos" w:eastAsia="Aptos"/>
                <w:color w:val="1D252D"/>
                <w:sz w:val="16"/>
              </w:rPr>
              <w:t>Correct basic workflow</w:t>
            </w:r>
          </w:p>
        </w:tc>
        <w:tc>
          <w:tcPr>
            <w:tcW w:type="dxa" w:w="2880"/>
            <w:shd w:fill="FFFFFF"/>
            <w:tcMar>
              <w:top w:w="80" w:type="dxa"/>
              <w:start w:w="100" w:type="dxa"/>
              <w:bottom w:w="80" w:type="dxa"/>
              <w:end w:w="100" w:type="dxa"/>
            </w:tcMar>
          </w:tcPr>
          <w:p>
            <w:r>
              <w:rPr>
                <w:rFonts w:ascii="Aptos" w:hAnsi="Aptos" w:eastAsia="Aptos"/>
                <w:color w:val="1D252D"/>
                <w:sz w:val="16"/>
              </w:rPr>
              <w:t>Correct workflow with justified optional steps</w:t>
            </w:r>
          </w:p>
        </w:tc>
      </w:tr>
      <w:tr>
        <w:tc>
          <w:tcPr>
            <w:tcW w:type="dxa" w:w="2160"/>
            <w:shd w:fill="F9FBFC"/>
            <w:tcMar>
              <w:top w:w="80" w:type="dxa"/>
              <w:start w:w="100" w:type="dxa"/>
              <w:bottom w:w="80" w:type="dxa"/>
              <w:end w:w="100" w:type="dxa"/>
            </w:tcMar>
          </w:tcPr>
          <w:p>
            <w:r>
              <w:rPr>
                <w:rFonts w:ascii="Aptos" w:hAnsi="Aptos" w:eastAsia="Aptos"/>
                <w:color w:val="1D252D"/>
                <w:sz w:val="16"/>
              </w:rPr>
              <w:t>Chemical interpretation</w:t>
            </w:r>
          </w:p>
        </w:tc>
        <w:tc>
          <w:tcPr>
            <w:tcW w:type="dxa" w:w="1584"/>
            <w:shd w:fill="F9FBFC"/>
            <w:tcMar>
              <w:top w:w="80" w:type="dxa"/>
              <w:start w:w="100" w:type="dxa"/>
              <w:bottom w:w="80" w:type="dxa"/>
              <w:end w:w="100" w:type="dxa"/>
            </w:tcMar>
          </w:tcPr>
          <w:p>
            <w:r>
              <w:rPr>
                <w:rFonts w:ascii="Aptos" w:hAnsi="Aptos" w:eastAsia="Aptos"/>
                <w:color w:val="1D252D"/>
                <w:sz w:val="16"/>
              </w:rPr>
              <w:t>Absent</w:t>
            </w:r>
          </w:p>
        </w:tc>
        <w:tc>
          <w:tcPr>
            <w:tcW w:type="dxa" w:w="1728"/>
            <w:shd w:fill="F9FBFC"/>
            <w:tcMar>
              <w:top w:w="80" w:type="dxa"/>
              <w:start w:w="100" w:type="dxa"/>
              <w:bottom w:w="80" w:type="dxa"/>
              <w:end w:w="100" w:type="dxa"/>
            </w:tcMar>
          </w:tcPr>
          <w:p>
            <w:r>
              <w:rPr>
                <w:rFonts w:ascii="Aptos" w:hAnsi="Aptos" w:eastAsia="Aptos"/>
                <w:color w:val="1D252D"/>
                <w:sz w:val="16"/>
              </w:rPr>
              <w:t>Superficial</w:t>
            </w:r>
          </w:p>
        </w:tc>
        <w:tc>
          <w:tcPr>
            <w:tcW w:type="dxa" w:w="2304"/>
            <w:shd w:fill="F9FBFC"/>
            <w:tcMar>
              <w:top w:w="80" w:type="dxa"/>
              <w:start w:w="100" w:type="dxa"/>
              <w:bottom w:w="80" w:type="dxa"/>
              <w:end w:w="100" w:type="dxa"/>
            </w:tcMar>
          </w:tcPr>
          <w:p>
            <w:r>
              <w:rPr>
                <w:rFonts w:ascii="Aptos" w:hAnsi="Aptos" w:eastAsia="Aptos"/>
                <w:color w:val="1D252D"/>
                <w:sz w:val="16"/>
              </w:rPr>
              <w:t>Mostly correct</w:t>
            </w:r>
          </w:p>
        </w:tc>
        <w:tc>
          <w:tcPr>
            <w:tcW w:type="dxa" w:w="2880"/>
            <w:shd w:fill="F9FBFC"/>
            <w:tcMar>
              <w:top w:w="80" w:type="dxa"/>
              <w:start w:w="100" w:type="dxa"/>
              <w:bottom w:w="80" w:type="dxa"/>
              <w:end w:w="100" w:type="dxa"/>
            </w:tcMar>
          </w:tcPr>
          <w:p>
            <w:r>
              <w:rPr>
                <w:rFonts w:ascii="Aptos" w:hAnsi="Aptos" w:eastAsia="Aptos"/>
                <w:color w:val="1D252D"/>
                <w:sz w:val="16"/>
              </w:rPr>
              <w:t>Specific, evidence-based, chemically sound</w:t>
            </w:r>
          </w:p>
        </w:tc>
      </w:tr>
      <w:tr>
        <w:tc>
          <w:tcPr>
            <w:tcW w:type="dxa" w:w="2160"/>
            <w:shd w:fill="FFFFFF"/>
            <w:tcMar>
              <w:top w:w="80" w:type="dxa"/>
              <w:start w:w="100" w:type="dxa"/>
              <w:bottom w:w="80" w:type="dxa"/>
              <w:end w:w="100" w:type="dxa"/>
            </w:tcMar>
          </w:tcPr>
          <w:p>
            <w:r>
              <w:rPr>
                <w:rFonts w:ascii="Aptos" w:hAnsi="Aptos" w:eastAsia="Aptos"/>
                <w:color w:val="1D252D"/>
                <w:sz w:val="16"/>
              </w:rPr>
              <w:t>Validation / reliability</w:t>
            </w:r>
          </w:p>
        </w:tc>
        <w:tc>
          <w:tcPr>
            <w:tcW w:type="dxa" w:w="1584"/>
            <w:shd w:fill="FFFFFF"/>
            <w:tcMar>
              <w:top w:w="80" w:type="dxa"/>
              <w:start w:w="100" w:type="dxa"/>
              <w:bottom w:w="80" w:type="dxa"/>
              <w:end w:w="100" w:type="dxa"/>
            </w:tcMar>
          </w:tcPr>
          <w:p>
            <w:r>
              <w:rPr>
                <w:rFonts w:ascii="Aptos" w:hAnsi="Aptos" w:eastAsia="Aptos"/>
                <w:color w:val="1D252D"/>
                <w:sz w:val="16"/>
              </w:rPr>
              <w:t>Absent</w:t>
            </w:r>
          </w:p>
        </w:tc>
        <w:tc>
          <w:tcPr>
            <w:tcW w:type="dxa" w:w="1728"/>
            <w:shd w:fill="FFFFFF"/>
            <w:tcMar>
              <w:top w:w="80" w:type="dxa"/>
              <w:start w:w="100" w:type="dxa"/>
              <w:bottom w:w="80" w:type="dxa"/>
              <w:end w:w="100" w:type="dxa"/>
            </w:tcMar>
          </w:tcPr>
          <w:p>
            <w:r>
              <w:rPr>
                <w:rFonts w:ascii="Aptos" w:hAnsi="Aptos" w:eastAsia="Aptos"/>
                <w:color w:val="1D252D"/>
                <w:sz w:val="16"/>
              </w:rPr>
              <w:t>Metric reported only</w:t>
            </w:r>
          </w:p>
        </w:tc>
        <w:tc>
          <w:tcPr>
            <w:tcW w:type="dxa" w:w="2304"/>
            <w:shd w:fill="FFFFFF"/>
            <w:tcMar>
              <w:top w:w="80" w:type="dxa"/>
              <w:start w:w="100" w:type="dxa"/>
              <w:bottom w:w="80" w:type="dxa"/>
              <w:end w:w="100" w:type="dxa"/>
            </w:tcMar>
          </w:tcPr>
          <w:p>
            <w:r>
              <w:rPr>
                <w:rFonts w:ascii="Aptos" w:hAnsi="Aptos" w:eastAsia="Aptos"/>
                <w:color w:val="1D252D"/>
                <w:sz w:val="16"/>
              </w:rPr>
              <w:t>Metric interpreted</w:t>
            </w:r>
          </w:p>
        </w:tc>
        <w:tc>
          <w:tcPr>
            <w:tcW w:type="dxa" w:w="2880"/>
            <w:shd w:fill="FFFFFF"/>
            <w:tcMar>
              <w:top w:w="80" w:type="dxa"/>
              <w:start w:w="100" w:type="dxa"/>
              <w:bottom w:w="80" w:type="dxa"/>
              <w:end w:w="100" w:type="dxa"/>
            </w:tcMar>
          </w:tcPr>
          <w:p>
            <w:r>
              <w:rPr>
                <w:rFonts w:ascii="Aptos" w:hAnsi="Aptos" w:eastAsia="Aptos"/>
                <w:color w:val="1D252D"/>
                <w:sz w:val="16"/>
              </w:rPr>
              <w:t>Metric plus AD/split limitations discussed</w:t>
            </w:r>
          </w:p>
        </w:tc>
      </w:tr>
      <w:tr>
        <w:tc>
          <w:tcPr>
            <w:tcW w:type="dxa" w:w="2160"/>
            <w:shd w:fill="F9FBFC"/>
            <w:tcMar>
              <w:top w:w="80" w:type="dxa"/>
              <w:start w:w="100" w:type="dxa"/>
              <w:bottom w:w="80" w:type="dxa"/>
              <w:end w:w="100" w:type="dxa"/>
            </w:tcMar>
          </w:tcPr>
          <w:p>
            <w:r>
              <w:rPr>
                <w:rFonts w:ascii="Aptos" w:hAnsi="Aptos" w:eastAsia="Aptos"/>
                <w:color w:val="1D252D"/>
                <w:sz w:val="16"/>
              </w:rPr>
              <w:t>Reproducibility</w:t>
            </w:r>
          </w:p>
        </w:tc>
        <w:tc>
          <w:tcPr>
            <w:tcW w:type="dxa" w:w="1584"/>
            <w:shd w:fill="F9FBFC"/>
            <w:tcMar>
              <w:top w:w="80" w:type="dxa"/>
              <w:start w:w="100" w:type="dxa"/>
              <w:bottom w:w="80" w:type="dxa"/>
              <w:end w:w="100" w:type="dxa"/>
            </w:tcMar>
          </w:tcPr>
          <w:p>
            <w:r>
              <w:rPr>
                <w:rFonts w:ascii="Aptos" w:hAnsi="Aptos" w:eastAsia="Aptos"/>
                <w:color w:val="1D252D"/>
                <w:sz w:val="16"/>
              </w:rPr>
              <w:t>Absent</w:t>
            </w:r>
          </w:p>
        </w:tc>
        <w:tc>
          <w:tcPr>
            <w:tcW w:type="dxa" w:w="1728"/>
            <w:shd w:fill="F9FBFC"/>
            <w:tcMar>
              <w:top w:w="80" w:type="dxa"/>
              <w:start w:w="100" w:type="dxa"/>
              <w:bottom w:w="80" w:type="dxa"/>
              <w:end w:w="100" w:type="dxa"/>
            </w:tcMar>
          </w:tcPr>
          <w:p>
            <w:r>
              <w:rPr>
                <w:rFonts w:ascii="Aptos" w:hAnsi="Aptos" w:eastAsia="Aptos"/>
                <w:color w:val="1D252D"/>
                <w:sz w:val="16"/>
              </w:rPr>
              <w:t>Some settings</w:t>
            </w:r>
          </w:p>
        </w:tc>
        <w:tc>
          <w:tcPr>
            <w:tcW w:type="dxa" w:w="2304"/>
            <w:shd w:fill="F9FBFC"/>
            <w:tcMar>
              <w:top w:w="80" w:type="dxa"/>
              <w:start w:w="100" w:type="dxa"/>
              <w:bottom w:w="80" w:type="dxa"/>
              <w:end w:w="100" w:type="dxa"/>
            </w:tcMar>
          </w:tcPr>
          <w:p>
            <w:r>
              <w:rPr>
                <w:rFonts w:ascii="Aptos" w:hAnsi="Aptos" w:eastAsia="Aptos"/>
                <w:color w:val="1D252D"/>
                <w:sz w:val="16"/>
              </w:rPr>
              <w:t>Most settings</w:t>
            </w:r>
          </w:p>
        </w:tc>
        <w:tc>
          <w:tcPr>
            <w:tcW w:type="dxa" w:w="2880"/>
            <w:shd w:fill="F9FBFC"/>
            <w:tcMar>
              <w:top w:w="80" w:type="dxa"/>
              <w:start w:w="100" w:type="dxa"/>
              <w:bottom w:w="80" w:type="dxa"/>
              <w:end w:w="100" w:type="dxa"/>
            </w:tcMar>
          </w:tcPr>
          <w:p>
            <w:r>
              <w:rPr>
                <w:rFonts w:ascii="Aptos" w:hAnsi="Aptos" w:eastAsia="Aptos"/>
                <w:color w:val="1D252D"/>
                <w:sz w:val="16"/>
              </w:rPr>
              <w:t>Full settings, outputs, and failure handling</w:t>
            </w:r>
          </w:p>
        </w:tc>
      </w:tr>
    </w:tbl>
    <w:p>
      <w:pPr>
        <w:spacing w:after="120"/>
      </w:pPr>
    </w:p>
    <w:p>
      <w:pPr>
        <w:pStyle w:val="Heading2"/>
      </w:pPr>
      <w:r>
        <w:rPr>
          <w:rFonts w:ascii="Aptos" w:hAnsi="Aptos" w:eastAsia="Aptos"/>
          <w:b/>
          <w:color w:val="12324A"/>
          <w:sz w:val="30"/>
        </w:rPr>
        <w:t>Exit ticket prompts</w:t>
      </w:r>
    </w:p>
    <w:p>
      <w:pPr>
        <w:pStyle w:val="ListBullet"/>
        <w:spacing w:after="40"/>
      </w:pPr>
      <w:r>
        <w:rPr>
          <w:rFonts w:ascii="Aptos" w:hAnsi="Aptos" w:eastAsia="Aptos"/>
          <w:color w:val="1D252D"/>
          <w:sz w:val="19"/>
        </w:rPr>
        <w:t>Which preprocessing choice most influenced the result?</w:t>
      </w:r>
    </w:p>
    <w:p>
      <w:pPr>
        <w:pStyle w:val="ListBullet"/>
        <w:spacing w:after="40"/>
      </w:pPr>
      <w:r>
        <w:rPr>
          <w:rFonts w:ascii="Aptos" w:hAnsi="Aptos" w:eastAsia="Aptos"/>
          <w:color w:val="1D252D"/>
          <w:sz w:val="19"/>
        </w:rPr>
        <w:t>Which output is chemically interpretable and why?</w:t>
      </w:r>
    </w:p>
    <w:p>
      <w:pPr>
        <w:pStyle w:val="ListBullet"/>
        <w:spacing w:after="40"/>
      </w:pPr>
      <w:r>
        <w:rPr>
          <w:rFonts w:ascii="Aptos" w:hAnsi="Aptos" w:eastAsia="Aptos"/>
          <w:color w:val="1D252D"/>
          <w:sz w:val="19"/>
        </w:rPr>
        <w:t>Where would you not trust the model or analysis?</w:t>
      </w:r>
    </w:p>
    <w:p>
      <w:pPr>
        <w:pStyle w:val="ListBullet"/>
        <w:spacing w:after="40"/>
      </w:pPr>
      <w:r>
        <w:rPr>
          <w:rFonts w:ascii="Aptos" w:hAnsi="Aptos" w:eastAsia="Aptos"/>
          <w:color w:val="1D252D"/>
          <w:sz w:val="19"/>
        </w:rPr>
        <w:t>What would you change before using this workflow for a publication?</w:t>
      </w:r>
    </w:p>
    <w:p>
      <w:r>
        <w:br w:type="page"/>
      </w:r>
    </w:p>
    <w:p>
      <w:pPr>
        <w:spacing w:after="40"/>
      </w:pPr>
      <w:r>
        <w:rPr>
          <w:rFonts w:ascii="Aptos" w:hAnsi="Aptos" w:eastAsia="Aptos"/>
          <w:b/>
          <w:color w:val="1AA6A6"/>
          <w:sz w:val="17"/>
        </w:rPr>
        <w:t>MAKE WORKFLOWS TEACHABLE</w:t>
      </w:r>
    </w:p>
    <w:p>
      <w:pPr>
        <w:pStyle w:val="Heading1"/>
        <w:spacing w:after="200"/>
      </w:pPr>
      <w:r>
        <w:rPr>
          <w:rFonts w:ascii="Aptos" w:hAnsi="Aptos" w:eastAsia="Aptos"/>
          <w:b/>
          <w:color w:val="12324A"/>
          <w:sz w:val="48"/>
        </w:rPr>
        <w:t>8. Accessibility, inclusion, and classroom management</w:t>
      </w:r>
    </w:p>
    <w:tbl>
      <w:tblPr>
        <w:tblW w:type="auto" w:w="0"/>
        <w:jc w:val="center"/>
        <w:tblLayout w:type="fixed"/>
        <w:tblLook w:firstColumn="1" w:firstRow="1" w:lastColumn="0" w:lastRow="0" w:noHBand="0" w:noVBand="1" w:val="04A0"/>
      </w:tblPr>
      <w:tblGrid>
        <w:gridCol w:w="4579"/>
        <w:gridCol w:w="4579"/>
      </w:tblGrid>
      <w:tr>
        <w:tc>
          <w:tcPr>
            <w:tcW w:type="dxa" w:w="5184"/>
            <w:shd w:fill="EAF7F7"/>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Reduce cognitive load</w:t>
            </w:r>
          </w:p>
          <w:p>
            <w:r>
              <w:rPr>
                <w:rFonts w:ascii="Aptos" w:hAnsi="Aptos" w:eastAsia="Aptos"/>
                <w:color w:val="1D252D"/>
                <w:sz w:val="17"/>
              </w:rPr>
              <w:t>Provide a minimal starter workflow before asking students to explore variants.</w:t>
            </w:r>
          </w:p>
        </w:tc>
        <w:tc>
          <w:tcPr>
            <w:tcW w:type="dxa" w:w="5184"/>
            <w:shd w:fill="FFF3E6"/>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Use paired roles</w:t>
            </w:r>
          </w:p>
          <w:p>
            <w:r>
              <w:rPr>
                <w:rFonts w:ascii="Aptos" w:hAnsi="Aptos" w:eastAsia="Aptos"/>
                <w:color w:val="1D252D"/>
                <w:sz w:val="17"/>
              </w:rPr>
              <w:t>One student drives the workflow; the other records assumptions and interpretation.</w:t>
            </w:r>
          </w:p>
        </w:tc>
      </w:tr>
      <w:tr>
        <w:tc>
          <w:tcPr>
            <w:tcW w:type="dxa" w:w="5184"/>
            <w:shd w:fill="EEF7EE"/>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Make outputs visible</w:t>
            </w:r>
          </w:p>
          <w:p>
            <w:r>
              <w:rPr>
                <w:rFonts w:ascii="Aptos" w:hAnsi="Aptos" w:eastAsia="Aptos"/>
                <w:color w:val="1D252D"/>
                <w:sz w:val="17"/>
              </w:rPr>
              <w:t>Ask students to screenshot or export tables that support their conclusions.</w:t>
            </w:r>
          </w:p>
        </w:tc>
        <w:tc>
          <w:tcPr>
            <w:tcW w:type="dxa" w:w="5184"/>
            <w:shd w:fill="F4F6FA"/>
            <w:tcMar>
              <w:top w:w="160" w:type="dxa"/>
              <w:start w:w="160" w:type="dxa"/>
              <w:bottom w:w="160" w:type="dxa"/>
              <w:end w:w="160" w:type="dxa"/>
            </w:tcMar>
            <w:tcBorders>
              <w:top w:sz="6" w:val="single" w:color="D7E3E6"/>
              <w:left w:sz="6" w:val="single" w:color="D7E3E6"/>
              <w:bottom w:sz="6" w:val="single" w:color="D7E3E6"/>
              <w:right w:sz="6" w:val="single" w:color="D7E3E6"/>
            </w:tcBorders>
          </w:tcPr>
          <w:p>
            <w:r>
              <w:rPr>
                <w:rFonts w:ascii="Aptos" w:hAnsi="Aptos" w:eastAsia="Aptos"/>
                <w:b/>
                <w:color w:val="12324A"/>
                <w:sz w:val="22"/>
              </w:rPr>
              <w:t>Normalize errors</w:t>
            </w:r>
          </w:p>
          <w:p>
            <w:r>
              <w:rPr>
                <w:rFonts w:ascii="Aptos" w:hAnsi="Aptos" w:eastAsia="Aptos"/>
                <w:color w:val="1D252D"/>
                <w:sz w:val="17"/>
              </w:rPr>
              <w:t>Invalid molecules and failed calculations are part of real cheminformatics, not student failure.</w:t>
            </w:r>
          </w:p>
        </w:tc>
      </w:tr>
    </w:tbl>
    <w:p>
      <w:pPr>
        <w:spacing w:after="100"/>
      </w:pPr>
    </w:p>
    <w:p>
      <w:pPr>
        <w:pStyle w:val="Heading2"/>
      </w:pPr>
      <w:r>
        <w:rPr>
          <w:rFonts w:ascii="Aptos" w:hAnsi="Aptos" w:eastAsia="Aptos"/>
          <w:b/>
          <w:color w:val="12324A"/>
          <w:sz w:val="30"/>
        </w:rPr>
        <w:t>Inclusive design checklist</w:t>
      </w:r>
    </w:p>
    <w:p>
      <w:pPr>
        <w:pStyle w:val="ListBullet"/>
        <w:spacing w:after="40"/>
      </w:pPr>
      <w:r>
        <w:rPr>
          <w:rFonts w:ascii="Aptos" w:hAnsi="Aptos" w:eastAsia="Aptos"/>
          <w:b/>
          <w:color w:val="12324A"/>
          <w:sz w:val="19"/>
        </w:rPr>
        <w:t xml:space="preserve">Before class: </w:t>
      </w:r>
      <w:r>
        <w:rPr>
          <w:rFonts w:ascii="Aptos" w:hAnsi="Aptos" w:eastAsia="Aptos"/>
          <w:color w:val="1D252D"/>
          <w:sz w:val="19"/>
        </w:rPr>
        <w:t>Test the environment, provide a small backup dataset, and prepare a screenshot of the expected workflow.</w:t>
      </w:r>
    </w:p>
    <w:p>
      <w:pPr>
        <w:pStyle w:val="ListBullet"/>
        <w:spacing w:after="40"/>
      </w:pPr>
      <w:r>
        <w:rPr>
          <w:rFonts w:ascii="Aptos" w:hAnsi="Aptos" w:eastAsia="Aptos"/>
          <w:b/>
          <w:color w:val="12324A"/>
          <w:sz w:val="19"/>
        </w:rPr>
        <w:t xml:space="preserve">During class: </w:t>
      </w:r>
      <w:r>
        <w:rPr>
          <w:rFonts w:ascii="Aptos" w:hAnsi="Aptos" w:eastAsia="Aptos"/>
          <w:color w:val="1D252D"/>
          <w:sz w:val="19"/>
        </w:rPr>
        <w:t>Pause after each major widget and ask students to predict the output before running it.</w:t>
      </w:r>
    </w:p>
    <w:p>
      <w:pPr>
        <w:pStyle w:val="ListBullet"/>
        <w:spacing w:after="40"/>
      </w:pPr>
      <w:r>
        <w:rPr>
          <w:rFonts w:ascii="Aptos" w:hAnsi="Aptos" w:eastAsia="Aptos"/>
          <w:b/>
          <w:color w:val="12324A"/>
          <w:sz w:val="19"/>
        </w:rPr>
        <w:t xml:space="preserve">For mixed skill levels: </w:t>
      </w:r>
      <w:r>
        <w:rPr>
          <w:rFonts w:ascii="Aptos" w:hAnsi="Aptos" w:eastAsia="Aptos"/>
          <w:color w:val="1D252D"/>
          <w:sz w:val="19"/>
        </w:rPr>
        <w:t>Provide optional extension tasks rather than accelerating the entire class.</w:t>
      </w:r>
    </w:p>
    <w:p>
      <w:pPr>
        <w:pStyle w:val="ListBullet"/>
        <w:spacing w:after="40"/>
      </w:pPr>
      <w:r>
        <w:rPr>
          <w:rFonts w:ascii="Aptos" w:hAnsi="Aptos" w:eastAsia="Aptos"/>
          <w:b/>
          <w:color w:val="12324A"/>
          <w:sz w:val="19"/>
        </w:rPr>
        <w:t xml:space="preserve">For assessment: </w:t>
      </w:r>
      <w:r>
        <w:rPr>
          <w:rFonts w:ascii="Aptos" w:hAnsi="Aptos" w:eastAsia="Aptos"/>
          <w:color w:val="1D252D"/>
          <w:sz w:val="19"/>
        </w:rPr>
        <w:t>Grade explanations and evidence more than speed.</w:t>
      </w:r>
    </w:p>
    <w:p>
      <w:pPr>
        <w:spacing w:after="40"/>
      </w:pPr>
      <w:r>
        <w:rPr>
          <w:rFonts w:ascii="Aptos" w:hAnsi="Aptos" w:eastAsia="Aptos"/>
          <w:b/>
          <w:color w:val="1AA6A6"/>
          <w:sz w:val="17"/>
        </w:rPr>
        <w:t>COMMON ISSUES</w:t>
      </w:r>
    </w:p>
    <w:p>
      <w:pPr>
        <w:pStyle w:val="Heading1"/>
        <w:spacing w:after="200"/>
      </w:pPr>
      <w:r>
        <w:rPr>
          <w:rFonts w:ascii="Aptos" w:hAnsi="Aptos" w:eastAsia="Aptos"/>
          <w:b/>
          <w:color w:val="12324A"/>
          <w:sz w:val="48"/>
        </w:rPr>
        <w:t>9. Troubleshooting and reproducibility</w:t>
      </w:r>
    </w:p>
    <w:tbl>
      <w:tblPr>
        <w:tblStyle w:val="TableGrid"/>
        <w:tblW w:type="auto" w:w="0"/>
        <w:jc w:val="center"/>
        <w:tblLayout w:type="fixed"/>
        <w:tblLook w:firstColumn="1" w:firstRow="1" w:lastColumn="0" w:lastRow="0" w:noHBand="0" w:noVBand="1" w:val="04A0"/>
      </w:tblPr>
      <w:tblGrid>
        <w:gridCol w:w="2304"/>
        <w:gridCol w:w="3456"/>
        <w:gridCol w:w="3456"/>
      </w:tblGrid>
      <w:tr>
        <w:tc>
          <w:tcPr>
            <w:tcW w:type="dxa" w:w="3456"/>
            <w:shd w:fill="C85050"/>
            <w:tcMar>
              <w:top w:w="90" w:type="dxa"/>
              <w:start w:w="100" w:type="dxa"/>
              <w:bottom w:w="90" w:type="dxa"/>
              <w:end w:w="100" w:type="dxa"/>
            </w:tcMar>
          </w:tcPr>
          <w:p>
            <w:r>
              <w:rPr>
                <w:rFonts w:ascii="Aptos" w:hAnsi="Aptos" w:eastAsia="Aptos"/>
                <w:b/>
                <w:color w:val="FFFFFF"/>
                <w:sz w:val="17"/>
              </w:rPr>
              <w:t>Problem</w:t>
            </w:r>
          </w:p>
        </w:tc>
        <w:tc>
          <w:tcPr>
            <w:tcW w:type="dxa" w:w="3456"/>
            <w:shd w:fill="C85050"/>
            <w:tcMar>
              <w:top w:w="90" w:type="dxa"/>
              <w:start w:w="100" w:type="dxa"/>
              <w:bottom w:w="90" w:type="dxa"/>
              <w:end w:w="100" w:type="dxa"/>
            </w:tcMar>
          </w:tcPr>
          <w:p>
            <w:r>
              <w:rPr>
                <w:rFonts w:ascii="Aptos" w:hAnsi="Aptos" w:eastAsia="Aptos"/>
                <w:b/>
                <w:color w:val="FFFFFF"/>
                <w:sz w:val="17"/>
              </w:rPr>
              <w:t>Likely cause</w:t>
            </w:r>
          </w:p>
        </w:tc>
        <w:tc>
          <w:tcPr>
            <w:tcW w:type="dxa" w:w="3456"/>
            <w:shd w:fill="C85050"/>
            <w:tcMar>
              <w:top w:w="90" w:type="dxa"/>
              <w:start w:w="100" w:type="dxa"/>
              <w:bottom w:w="90" w:type="dxa"/>
              <w:end w:w="100" w:type="dxa"/>
            </w:tcMar>
          </w:tcPr>
          <w:p>
            <w:r>
              <w:rPr>
                <w:rFonts w:ascii="Aptos" w:hAnsi="Aptos" w:eastAsia="Aptos"/>
                <w:b/>
                <w:color w:val="FFFFFF"/>
                <w:sz w:val="17"/>
              </w:rPr>
              <w:t>Teaching response</w:t>
            </w:r>
          </w:p>
        </w:tc>
      </w:tr>
      <w:tr>
        <w:tc>
          <w:tcPr>
            <w:tcW w:type="dxa" w:w="2304"/>
            <w:shd w:fill="F9FBFC"/>
            <w:tcMar>
              <w:top w:w="80" w:type="dxa"/>
              <w:start w:w="100" w:type="dxa"/>
              <w:bottom w:w="80" w:type="dxa"/>
              <w:end w:w="100" w:type="dxa"/>
            </w:tcMar>
          </w:tcPr>
          <w:p>
            <w:r>
              <w:rPr>
                <w:rFonts w:ascii="Aptos" w:hAnsi="Aptos" w:eastAsia="Aptos"/>
                <w:color w:val="1D252D"/>
                <w:sz w:val="16"/>
              </w:rPr>
              <w:t>Widget not visible</w:t>
            </w:r>
          </w:p>
        </w:tc>
        <w:tc>
          <w:tcPr>
            <w:tcW w:type="dxa" w:w="3456"/>
            <w:shd w:fill="F9FBFC"/>
            <w:tcMar>
              <w:top w:w="80" w:type="dxa"/>
              <w:start w:w="100" w:type="dxa"/>
              <w:bottom w:w="80" w:type="dxa"/>
              <w:end w:w="100" w:type="dxa"/>
            </w:tcMar>
          </w:tcPr>
          <w:p>
            <w:r>
              <w:rPr>
                <w:rFonts w:ascii="Aptos" w:hAnsi="Aptos" w:eastAsia="Aptos"/>
                <w:color w:val="1D252D"/>
                <w:sz w:val="16"/>
              </w:rPr>
              <w:t>Package not installed in the active environment.</w:t>
            </w:r>
          </w:p>
        </w:tc>
        <w:tc>
          <w:tcPr>
            <w:tcW w:type="dxa" w:w="3456"/>
            <w:shd w:fill="F9FBFC"/>
            <w:tcMar>
              <w:top w:w="80" w:type="dxa"/>
              <w:start w:w="100" w:type="dxa"/>
              <w:bottom w:w="80" w:type="dxa"/>
              <w:end w:w="100" w:type="dxa"/>
            </w:tcMar>
          </w:tcPr>
          <w:p>
            <w:r>
              <w:rPr>
                <w:rFonts w:ascii="Aptos" w:hAnsi="Aptos" w:eastAsia="Aptos"/>
                <w:color w:val="1D252D"/>
                <w:sz w:val="16"/>
              </w:rPr>
              <w:t>Run pip install -e . and restart Orange.</w:t>
            </w:r>
          </w:p>
        </w:tc>
      </w:tr>
      <w:tr>
        <w:tc>
          <w:tcPr>
            <w:tcW w:type="dxa" w:w="2304"/>
            <w:shd w:fill="FFFFFF"/>
            <w:tcMar>
              <w:top w:w="80" w:type="dxa"/>
              <w:start w:w="100" w:type="dxa"/>
              <w:bottom w:w="80" w:type="dxa"/>
              <w:end w:w="100" w:type="dxa"/>
            </w:tcMar>
          </w:tcPr>
          <w:p>
            <w:r>
              <w:rPr>
                <w:rFonts w:ascii="Aptos" w:hAnsi="Aptos" w:eastAsia="Aptos"/>
                <w:color w:val="1D252D"/>
                <w:sz w:val="16"/>
              </w:rPr>
              <w:t>No matched motifs</w:t>
            </w:r>
          </w:p>
        </w:tc>
        <w:tc>
          <w:tcPr>
            <w:tcW w:type="dxa" w:w="3456"/>
            <w:shd w:fill="FFFFFF"/>
            <w:tcMar>
              <w:top w:w="80" w:type="dxa"/>
              <w:start w:w="100" w:type="dxa"/>
              <w:bottom w:w="80" w:type="dxa"/>
              <w:end w:w="100" w:type="dxa"/>
            </w:tcMar>
          </w:tcPr>
          <w:p>
            <w:r>
              <w:rPr>
                <w:rFonts w:ascii="Aptos" w:hAnsi="Aptos" w:eastAsia="Aptos"/>
                <w:color w:val="1D252D"/>
                <w:sz w:val="16"/>
              </w:rPr>
              <w:t>Wrong SMILES column, invalid structures, or motifs absent.</w:t>
            </w:r>
          </w:p>
        </w:tc>
        <w:tc>
          <w:tcPr>
            <w:tcW w:type="dxa" w:w="3456"/>
            <w:shd w:fill="FFFFFF"/>
            <w:tcMar>
              <w:top w:w="80" w:type="dxa"/>
              <w:start w:w="100" w:type="dxa"/>
              <w:bottom w:w="80" w:type="dxa"/>
              <w:end w:w="100" w:type="dxa"/>
            </w:tcMar>
          </w:tcPr>
          <w:p>
            <w:r>
              <w:rPr>
                <w:rFonts w:ascii="Aptos" w:hAnsi="Aptos" w:eastAsia="Aptos"/>
                <w:color w:val="1D252D"/>
                <w:sz w:val="16"/>
              </w:rPr>
              <w:t>Inspect input and compare with a known positive control.</w:t>
            </w:r>
          </w:p>
        </w:tc>
      </w:tr>
      <w:tr>
        <w:tc>
          <w:tcPr>
            <w:tcW w:type="dxa" w:w="2304"/>
            <w:shd w:fill="F9FBFC"/>
            <w:tcMar>
              <w:top w:w="80" w:type="dxa"/>
              <w:start w:w="100" w:type="dxa"/>
              <w:bottom w:w="80" w:type="dxa"/>
              <w:end w:w="100" w:type="dxa"/>
            </w:tcMar>
          </w:tcPr>
          <w:p>
            <w:r>
              <w:rPr>
                <w:rFonts w:ascii="Aptos" w:hAnsi="Aptos" w:eastAsia="Aptos"/>
                <w:color w:val="1D252D"/>
                <w:sz w:val="16"/>
              </w:rPr>
              <w:t>Model performance too high</w:t>
            </w:r>
          </w:p>
        </w:tc>
        <w:tc>
          <w:tcPr>
            <w:tcW w:type="dxa" w:w="3456"/>
            <w:shd w:fill="F9FBFC"/>
            <w:tcMar>
              <w:top w:w="80" w:type="dxa"/>
              <w:start w:w="100" w:type="dxa"/>
              <w:bottom w:w="80" w:type="dxa"/>
              <w:end w:w="100" w:type="dxa"/>
            </w:tcMar>
          </w:tcPr>
          <w:p>
            <w:r>
              <w:rPr>
                <w:rFonts w:ascii="Aptos" w:hAnsi="Aptos" w:eastAsia="Aptos"/>
                <w:color w:val="1D252D"/>
                <w:sz w:val="16"/>
              </w:rPr>
              <w:t>Data leakage, duplicate compounds, or random split optimism.</w:t>
            </w:r>
          </w:p>
        </w:tc>
        <w:tc>
          <w:tcPr>
            <w:tcW w:type="dxa" w:w="3456"/>
            <w:shd w:fill="F9FBFC"/>
            <w:tcMar>
              <w:top w:w="80" w:type="dxa"/>
              <w:start w:w="100" w:type="dxa"/>
              <w:bottom w:w="80" w:type="dxa"/>
              <w:end w:w="100" w:type="dxa"/>
            </w:tcMar>
          </w:tcPr>
          <w:p>
            <w:r>
              <w:rPr>
                <w:rFonts w:ascii="Aptos" w:hAnsi="Aptos" w:eastAsia="Aptos"/>
                <w:color w:val="1D252D"/>
                <w:sz w:val="16"/>
              </w:rPr>
              <w:t>Use scaffold split and check duplicates.</w:t>
            </w:r>
          </w:p>
        </w:tc>
      </w:tr>
      <w:tr>
        <w:tc>
          <w:tcPr>
            <w:tcW w:type="dxa" w:w="2304"/>
            <w:shd w:fill="FFFFFF"/>
            <w:tcMar>
              <w:top w:w="80" w:type="dxa"/>
              <w:start w:w="100" w:type="dxa"/>
              <w:bottom w:w="80" w:type="dxa"/>
              <w:end w:w="100" w:type="dxa"/>
            </w:tcMar>
          </w:tcPr>
          <w:p>
            <w:r>
              <w:rPr>
                <w:rFonts w:ascii="Aptos" w:hAnsi="Aptos" w:eastAsia="Aptos"/>
                <w:color w:val="1D252D"/>
                <w:sz w:val="16"/>
              </w:rPr>
              <w:t>External predictions questionable</w:t>
            </w:r>
          </w:p>
        </w:tc>
        <w:tc>
          <w:tcPr>
            <w:tcW w:type="dxa" w:w="3456"/>
            <w:shd w:fill="FFFFFF"/>
            <w:tcMar>
              <w:top w:w="80" w:type="dxa"/>
              <w:start w:w="100" w:type="dxa"/>
              <w:bottom w:w="80" w:type="dxa"/>
              <w:end w:w="100" w:type="dxa"/>
            </w:tcMar>
          </w:tcPr>
          <w:p>
            <w:r>
              <w:rPr>
                <w:rFonts w:ascii="Aptos" w:hAnsi="Aptos" w:eastAsia="Aptos"/>
                <w:color w:val="1D252D"/>
                <w:sz w:val="16"/>
              </w:rPr>
              <w:t>Query compounds outside training domain.</w:t>
            </w:r>
          </w:p>
        </w:tc>
        <w:tc>
          <w:tcPr>
            <w:tcW w:type="dxa" w:w="3456"/>
            <w:shd w:fill="FFFFFF"/>
            <w:tcMar>
              <w:top w:w="80" w:type="dxa"/>
              <w:start w:w="100" w:type="dxa"/>
              <w:bottom w:w="80" w:type="dxa"/>
              <w:end w:w="100" w:type="dxa"/>
            </w:tcMar>
          </w:tcPr>
          <w:p>
            <w:r>
              <w:rPr>
                <w:rFonts w:ascii="Aptos" w:hAnsi="Aptos" w:eastAsia="Aptos"/>
                <w:color w:val="1D252D"/>
                <w:sz w:val="16"/>
              </w:rPr>
              <w:t>Use applicability domain and report limitations.</w:t>
            </w:r>
          </w:p>
        </w:tc>
      </w:tr>
      <w:tr>
        <w:tc>
          <w:tcPr>
            <w:tcW w:type="dxa" w:w="2304"/>
            <w:shd w:fill="F9FBFC"/>
            <w:tcMar>
              <w:top w:w="80" w:type="dxa"/>
              <w:start w:w="100" w:type="dxa"/>
              <w:bottom w:w="80" w:type="dxa"/>
              <w:end w:w="100" w:type="dxa"/>
            </w:tcMar>
          </w:tcPr>
          <w:p>
            <w:r>
              <w:rPr>
                <w:rFonts w:ascii="Aptos" w:hAnsi="Aptos" w:eastAsia="Aptos"/>
                <w:color w:val="1D252D"/>
                <w:sz w:val="16"/>
              </w:rPr>
              <w:t>Different results after standardization</w:t>
            </w:r>
          </w:p>
        </w:tc>
        <w:tc>
          <w:tcPr>
            <w:tcW w:type="dxa" w:w="3456"/>
            <w:shd w:fill="F9FBFC"/>
            <w:tcMar>
              <w:top w:w="80" w:type="dxa"/>
              <w:start w:w="100" w:type="dxa"/>
              <w:bottom w:w="80" w:type="dxa"/>
              <w:end w:w="100" w:type="dxa"/>
            </w:tcMar>
          </w:tcPr>
          <w:p>
            <w:r>
              <w:rPr>
                <w:rFonts w:ascii="Aptos" w:hAnsi="Aptos" w:eastAsia="Aptos"/>
                <w:color w:val="1D252D"/>
                <w:sz w:val="16"/>
              </w:rPr>
              <w:t>Charges, salts, aromaticity, or tautomeric changes.</w:t>
            </w:r>
          </w:p>
        </w:tc>
        <w:tc>
          <w:tcPr>
            <w:tcW w:type="dxa" w:w="3456"/>
            <w:shd w:fill="F9FBFC"/>
            <w:tcMar>
              <w:top w:w="80" w:type="dxa"/>
              <w:start w:w="100" w:type="dxa"/>
              <w:bottom w:w="80" w:type="dxa"/>
              <w:end w:w="100" w:type="dxa"/>
            </w:tcMar>
          </w:tcPr>
          <w:p>
            <w:r>
              <w:rPr>
                <w:rFonts w:ascii="Aptos" w:hAnsi="Aptos" w:eastAsia="Aptos"/>
                <w:color w:val="1D252D"/>
                <w:sz w:val="16"/>
              </w:rPr>
              <w:t>Compare original and standardized SMILES.</w:t>
            </w:r>
          </w:p>
        </w:tc>
      </w:tr>
    </w:tbl>
    <w:p>
      <w:pPr>
        <w:spacing w:after="120"/>
      </w:pPr>
    </w:p>
    <w:p>
      <w:pPr>
        <w:pStyle w:val="Heading2"/>
      </w:pPr>
      <w:r>
        <w:rPr>
          <w:rFonts w:ascii="Aptos" w:hAnsi="Aptos" w:eastAsia="Aptos"/>
          <w:b/>
          <w:color w:val="12324A"/>
          <w:sz w:val="30"/>
        </w:rPr>
        <w:t>Minimum reproducibility record</w:t>
      </w:r>
    </w:p>
    <w:tbl>
      <w:tblPr>
        <w:tblW w:type="auto" w:w="0"/>
        <w:jc w:val="center"/>
        <w:tblLayout w:type="fixed"/>
        <w:tblLook w:firstColumn="1" w:firstRow="1" w:lastColumn="0" w:lastRow="0" w:noHBand="0" w:noVBand="1" w:val="04A0"/>
      </w:tblPr>
      <w:tblGrid>
        <w:gridCol w:w="173"/>
        <w:gridCol w:w="8856"/>
      </w:tblGrid>
      <w:tr>
        <w:tc>
          <w:tcPr>
            <w:tcW w:type="dxa" w:w="5184"/>
            <w:shd w:fill="C85050"/>
            <w:tcMar>
              <w:top w:w="120" w:type="dxa"/>
              <w:start w:w="100" w:type="dxa"/>
              <w:bottom w:w="120" w:type="dxa"/>
              <w:end w:w="100" w:type="dxa"/>
            </w:tcMar>
            <w:tcBorders>
              <w:top w:sz="0" w:val="single" w:color="FFF0F0"/>
              <w:left w:sz="0" w:val="single" w:color="FFF0F0"/>
              <w:bottom w:sz="0" w:val="single" w:color="FFF0F0"/>
              <w:right w:sz="0" w:val="single" w:color="FFF0F0"/>
            </w:tcBorders>
            <w:vAlign w:val="center"/>
          </w:tcPr>
          <w:p/>
        </w:tc>
        <w:tc>
          <w:tcPr>
            <w:tcW w:type="dxa" w:w="5184"/>
            <w:shd w:fill="FFF0F0"/>
            <w:tcMar>
              <w:top w:w="120" w:type="dxa"/>
              <w:start w:w="100" w:type="dxa"/>
              <w:bottom w:w="120" w:type="dxa"/>
              <w:end w:w="100" w:type="dxa"/>
            </w:tcMar>
            <w:tcBorders>
              <w:top w:sz="0" w:val="single" w:color="FFF0F0"/>
              <w:left w:sz="0" w:val="single" w:color="FFF0F0"/>
              <w:bottom w:sz="0" w:val="single" w:color="FFF0F0"/>
              <w:right w:sz="0" w:val="single" w:color="FFF0F0"/>
            </w:tcBorders>
            <w:vAlign w:val="center"/>
          </w:tcPr>
          <w:p>
            <w:r>
              <w:rPr>
                <w:rFonts w:ascii="Aptos" w:hAnsi="Aptos" w:eastAsia="Aptos"/>
                <w:b/>
                <w:color w:val="12324A"/>
                <w:sz w:val="21"/>
              </w:rPr>
              <w:t>Record this for every workflow</w:t>
            </w:r>
          </w:p>
          <w:p>
            <w:pPr>
              <w:spacing w:before="40" w:after="0"/>
            </w:pPr>
            <w:r>
              <w:rPr>
                <w:rFonts w:ascii="Aptos" w:hAnsi="Aptos" w:eastAsia="Aptos"/>
                <w:color w:val="1D252D"/>
                <w:sz w:val="18"/>
              </w:rPr>
              <w:t>Dataset name and source; date/version; SMILES column; standardization profile; descriptor/fingerprint settings; split method; model settings; validation metric; AD method if used; exported outputs; known failures.</w:t>
            </w:r>
          </w:p>
        </w:tc>
      </w:tr>
    </w:tbl>
    <w:p>
      <w:pPr>
        <w:spacing w:after="40"/>
      </w:pPr>
    </w:p>
    <w:p>
      <w:pPr>
        <w:spacing w:after="40"/>
      </w:pPr>
      <w:r>
        <w:rPr>
          <w:rFonts w:ascii="Aptos" w:hAnsi="Aptos" w:eastAsia="Aptos"/>
          <w:b/>
          <w:color w:val="1AA6A6"/>
          <w:sz w:val="17"/>
        </w:rPr>
        <w:t>FROM ONE LAB TO A CURRICULUM</w:t>
      </w:r>
    </w:p>
    <w:p>
      <w:pPr>
        <w:pStyle w:val="Heading1"/>
        <w:spacing w:after="200"/>
      </w:pPr>
      <w:r>
        <w:rPr>
          <w:rFonts w:ascii="Aptos" w:hAnsi="Aptos" w:eastAsia="Aptos"/>
          <w:b/>
          <w:color w:val="12324A"/>
          <w:sz w:val="48"/>
        </w:rPr>
        <w:t>10. Implementation roadmap</w:t>
      </w:r>
    </w:p>
    <w:p>
      <w:pPr>
        <w:spacing w:after="120" w:line="259" w:lineRule="auto"/>
      </w:pPr>
      <w:r>
        <w:rPr>
          <w:rFonts w:ascii="Aptos" w:hAnsi="Aptos" w:eastAsia="Aptos"/>
          <w:color w:val="1D252D"/>
          <w:sz w:val="20"/>
        </w:rPr>
        <w:t>The teaching materials can be used as individual exercises or assembled into a short cheminformatics module. The roadmap below supports gradual adoption.</w:t>
      </w:r>
    </w:p>
    <w:tbl>
      <w:tblPr>
        <w:tblStyle w:val="TableGrid"/>
        <w:tblW w:type="auto" w:w="0"/>
        <w:jc w:val="center"/>
        <w:tblLayout w:type="fixed"/>
        <w:tblLook w:firstColumn="1" w:firstRow="1" w:lastColumn="0" w:lastRow="0" w:noHBand="0" w:noVBand="1" w:val="04A0"/>
      </w:tblPr>
      <w:tblGrid>
        <w:gridCol w:w="1152"/>
        <w:gridCol w:w="3888"/>
        <w:gridCol w:w="4176"/>
      </w:tblGrid>
      <w:tr>
        <w:tc>
          <w:tcPr>
            <w:tcW w:type="dxa" w:w="3456"/>
            <w:shd w:fill="1AA6A6"/>
            <w:tcMar>
              <w:top w:w="90" w:type="dxa"/>
              <w:start w:w="100" w:type="dxa"/>
              <w:bottom w:w="90" w:type="dxa"/>
              <w:end w:w="100" w:type="dxa"/>
            </w:tcMar>
          </w:tcPr>
          <w:p>
            <w:r>
              <w:rPr>
                <w:rFonts w:ascii="Aptos" w:hAnsi="Aptos" w:eastAsia="Aptos"/>
                <w:b/>
                <w:color w:val="FFFFFF"/>
                <w:sz w:val="17"/>
              </w:rPr>
              <w:t>Week</w:t>
            </w:r>
          </w:p>
        </w:tc>
        <w:tc>
          <w:tcPr>
            <w:tcW w:type="dxa" w:w="3456"/>
            <w:shd w:fill="1AA6A6"/>
            <w:tcMar>
              <w:top w:w="90" w:type="dxa"/>
              <w:start w:w="100" w:type="dxa"/>
              <w:bottom w:w="90" w:type="dxa"/>
              <w:end w:w="100" w:type="dxa"/>
            </w:tcMar>
          </w:tcPr>
          <w:p>
            <w:r>
              <w:rPr>
                <w:rFonts w:ascii="Aptos" w:hAnsi="Aptos" w:eastAsia="Aptos"/>
                <w:b/>
                <w:color w:val="FFFFFF"/>
                <w:sz w:val="17"/>
              </w:rPr>
              <w:t>Focus</w:t>
            </w:r>
          </w:p>
        </w:tc>
        <w:tc>
          <w:tcPr>
            <w:tcW w:type="dxa" w:w="3456"/>
            <w:shd w:fill="1AA6A6"/>
            <w:tcMar>
              <w:top w:w="90" w:type="dxa"/>
              <w:start w:w="100" w:type="dxa"/>
              <w:bottom w:w="90" w:type="dxa"/>
              <w:end w:w="100" w:type="dxa"/>
            </w:tcMar>
          </w:tcPr>
          <w:p>
            <w:r>
              <w:rPr>
                <w:rFonts w:ascii="Aptos" w:hAnsi="Aptos" w:eastAsia="Aptos"/>
                <w:b/>
                <w:color w:val="FFFFFF"/>
                <w:sz w:val="17"/>
              </w:rPr>
              <w:t>Suggested package</w:t>
            </w:r>
          </w:p>
        </w:tc>
      </w:tr>
      <w:tr>
        <w:tc>
          <w:tcPr>
            <w:tcW w:type="dxa" w:w="1152"/>
            <w:shd w:fill="F9FBFC"/>
            <w:tcMar>
              <w:top w:w="80" w:type="dxa"/>
              <w:start w:w="100" w:type="dxa"/>
              <w:bottom w:w="80" w:type="dxa"/>
              <w:end w:w="100" w:type="dxa"/>
            </w:tcMar>
          </w:tcPr>
          <w:p>
            <w:r>
              <w:rPr>
                <w:rFonts w:ascii="Aptos" w:hAnsi="Aptos" w:eastAsia="Aptos"/>
                <w:color w:val="1D252D"/>
                <w:sz w:val="16"/>
              </w:rPr>
              <w:t>1</w:t>
            </w:r>
          </w:p>
        </w:tc>
        <w:tc>
          <w:tcPr>
            <w:tcW w:type="dxa" w:w="3888"/>
            <w:shd w:fill="F9FBFC"/>
            <w:tcMar>
              <w:top w:w="80" w:type="dxa"/>
              <w:start w:w="100" w:type="dxa"/>
              <w:bottom w:w="80" w:type="dxa"/>
              <w:end w:w="100" w:type="dxa"/>
            </w:tcMar>
          </w:tcPr>
          <w:p>
            <w:r>
              <w:rPr>
                <w:rFonts w:ascii="Aptos" w:hAnsi="Aptos" w:eastAsia="Aptos"/>
                <w:color w:val="1D252D"/>
                <w:sz w:val="16"/>
              </w:rPr>
              <w:t>Molecular data and standardization</w:t>
            </w:r>
          </w:p>
        </w:tc>
        <w:tc>
          <w:tcPr>
            <w:tcW w:type="dxa" w:w="4176"/>
            <w:shd w:fill="F9FBFC"/>
            <w:tcMar>
              <w:top w:w="80" w:type="dxa"/>
              <w:start w:w="100" w:type="dxa"/>
              <w:bottom w:w="80" w:type="dxa"/>
              <w:end w:w="100" w:type="dxa"/>
            </w:tcMar>
          </w:tcPr>
          <w:p>
            <w:r>
              <w:rPr>
                <w:rFonts w:ascii="Aptos" w:hAnsi="Aptos" w:eastAsia="Aptos"/>
                <w:color w:val="1D252D"/>
                <w:sz w:val="16"/>
              </w:rPr>
              <w:t>Molecular Standardization</w:t>
            </w:r>
          </w:p>
        </w:tc>
      </w:tr>
      <w:tr>
        <w:tc>
          <w:tcPr>
            <w:tcW w:type="dxa" w:w="1152"/>
            <w:shd w:fill="FFFFFF"/>
            <w:tcMar>
              <w:top w:w="80" w:type="dxa"/>
              <w:start w:w="100" w:type="dxa"/>
              <w:bottom w:w="80" w:type="dxa"/>
              <w:end w:w="100" w:type="dxa"/>
            </w:tcMar>
          </w:tcPr>
          <w:p>
            <w:r>
              <w:rPr>
                <w:rFonts w:ascii="Aptos" w:hAnsi="Aptos" w:eastAsia="Aptos"/>
                <w:color w:val="1D252D"/>
                <w:sz w:val="16"/>
              </w:rPr>
              <w:t>2</w:t>
            </w:r>
          </w:p>
        </w:tc>
        <w:tc>
          <w:tcPr>
            <w:tcW w:type="dxa" w:w="3888"/>
            <w:shd w:fill="FFFFFF"/>
            <w:tcMar>
              <w:top w:w="80" w:type="dxa"/>
              <w:start w:w="100" w:type="dxa"/>
              <w:bottom w:w="80" w:type="dxa"/>
              <w:end w:w="100" w:type="dxa"/>
            </w:tcMar>
          </w:tcPr>
          <w:p>
            <w:r>
              <w:rPr>
                <w:rFonts w:ascii="Aptos" w:hAnsi="Aptos" w:eastAsia="Aptos"/>
                <w:color w:val="1D252D"/>
                <w:sz w:val="16"/>
              </w:rPr>
              <w:t>Descriptors, fingerprints, and motif interpretation</w:t>
            </w:r>
          </w:p>
        </w:tc>
        <w:tc>
          <w:tcPr>
            <w:tcW w:type="dxa" w:w="4176"/>
            <w:shd w:fill="FFFFFF"/>
            <w:tcMar>
              <w:top w:w="80" w:type="dxa"/>
              <w:start w:w="100" w:type="dxa"/>
              <w:bottom w:w="80" w:type="dxa"/>
              <w:end w:w="100" w:type="dxa"/>
            </w:tcMar>
          </w:tcPr>
          <w:p>
            <w:r>
              <w:rPr>
                <w:rFonts w:ascii="Aptos" w:hAnsi="Aptos" w:eastAsia="Aptos"/>
                <w:color w:val="1D252D"/>
                <w:sz w:val="16"/>
              </w:rPr>
              <w:t>Cyclic Registry Fingerprint + QSAR Widgets</w:t>
            </w:r>
          </w:p>
        </w:tc>
      </w:tr>
      <w:tr>
        <w:tc>
          <w:tcPr>
            <w:tcW w:type="dxa" w:w="1152"/>
            <w:shd w:fill="F9FBFC"/>
            <w:tcMar>
              <w:top w:w="80" w:type="dxa"/>
              <w:start w:w="100" w:type="dxa"/>
              <w:bottom w:w="80" w:type="dxa"/>
              <w:end w:w="100" w:type="dxa"/>
            </w:tcMar>
          </w:tcPr>
          <w:p>
            <w:r>
              <w:rPr>
                <w:rFonts w:ascii="Aptos" w:hAnsi="Aptos" w:eastAsia="Aptos"/>
                <w:color w:val="1D252D"/>
                <w:sz w:val="16"/>
              </w:rPr>
              <w:t>3</w:t>
            </w:r>
          </w:p>
        </w:tc>
        <w:tc>
          <w:tcPr>
            <w:tcW w:type="dxa" w:w="3888"/>
            <w:shd w:fill="F9FBFC"/>
            <w:tcMar>
              <w:top w:w="80" w:type="dxa"/>
              <w:start w:w="100" w:type="dxa"/>
              <w:bottom w:w="80" w:type="dxa"/>
              <w:end w:w="100" w:type="dxa"/>
            </w:tcMar>
          </w:tcPr>
          <w:p>
            <w:r>
              <w:rPr>
                <w:rFonts w:ascii="Aptos" w:hAnsi="Aptos" w:eastAsia="Aptos"/>
                <w:color w:val="1D252D"/>
                <w:sz w:val="16"/>
              </w:rPr>
              <w:t>Model building and validation</w:t>
            </w:r>
          </w:p>
        </w:tc>
        <w:tc>
          <w:tcPr>
            <w:tcW w:type="dxa" w:w="4176"/>
            <w:shd w:fill="F9FBFC"/>
            <w:tcMar>
              <w:top w:w="80" w:type="dxa"/>
              <w:start w:w="100" w:type="dxa"/>
              <w:bottom w:w="80" w:type="dxa"/>
              <w:end w:w="100" w:type="dxa"/>
            </w:tcMar>
          </w:tcPr>
          <w:p>
            <w:r>
              <w:rPr>
                <w:rFonts w:ascii="Aptos" w:hAnsi="Aptos" w:eastAsia="Aptos"/>
                <w:color w:val="1D252D"/>
                <w:sz w:val="16"/>
              </w:rPr>
              <w:t>QSAR Widgets + Scaffold Splitter</w:t>
            </w:r>
          </w:p>
        </w:tc>
      </w:tr>
      <w:tr>
        <w:tc>
          <w:tcPr>
            <w:tcW w:type="dxa" w:w="1152"/>
            <w:shd w:fill="FFFFFF"/>
            <w:tcMar>
              <w:top w:w="80" w:type="dxa"/>
              <w:start w:w="100" w:type="dxa"/>
              <w:bottom w:w="80" w:type="dxa"/>
              <w:end w:w="100" w:type="dxa"/>
            </w:tcMar>
          </w:tcPr>
          <w:p>
            <w:r>
              <w:rPr>
                <w:rFonts w:ascii="Aptos" w:hAnsi="Aptos" w:eastAsia="Aptos"/>
                <w:color w:val="1D252D"/>
                <w:sz w:val="16"/>
              </w:rPr>
              <w:t>4</w:t>
            </w:r>
          </w:p>
        </w:tc>
        <w:tc>
          <w:tcPr>
            <w:tcW w:type="dxa" w:w="3888"/>
            <w:shd w:fill="FFFFFF"/>
            <w:tcMar>
              <w:top w:w="80" w:type="dxa"/>
              <w:start w:w="100" w:type="dxa"/>
              <w:bottom w:w="80" w:type="dxa"/>
              <w:end w:w="100" w:type="dxa"/>
            </w:tcMar>
          </w:tcPr>
          <w:p>
            <w:r>
              <w:rPr>
                <w:rFonts w:ascii="Aptos" w:hAnsi="Aptos" w:eastAsia="Aptos"/>
                <w:color w:val="1D252D"/>
                <w:sz w:val="16"/>
              </w:rPr>
              <w:t>Reliability and applicability domain</w:t>
            </w:r>
          </w:p>
        </w:tc>
        <w:tc>
          <w:tcPr>
            <w:tcW w:type="dxa" w:w="4176"/>
            <w:shd w:fill="FFFFFF"/>
            <w:tcMar>
              <w:top w:w="80" w:type="dxa"/>
              <w:start w:w="100" w:type="dxa"/>
              <w:bottom w:w="80" w:type="dxa"/>
              <w:end w:w="100" w:type="dxa"/>
            </w:tcMar>
          </w:tcPr>
          <w:p>
            <w:r>
              <w:rPr>
                <w:rFonts w:ascii="Aptos" w:hAnsi="Aptos" w:eastAsia="Aptos"/>
                <w:color w:val="1D252D"/>
                <w:sz w:val="16"/>
              </w:rPr>
              <w:t>Applicability Domain</w:t>
            </w:r>
          </w:p>
        </w:tc>
      </w:tr>
      <w:tr>
        <w:tc>
          <w:tcPr>
            <w:tcW w:type="dxa" w:w="1152"/>
            <w:shd w:fill="F9FBFC"/>
            <w:tcMar>
              <w:top w:w="80" w:type="dxa"/>
              <w:start w:w="100" w:type="dxa"/>
              <w:bottom w:w="80" w:type="dxa"/>
              <w:end w:w="100" w:type="dxa"/>
            </w:tcMar>
          </w:tcPr>
          <w:p>
            <w:r>
              <w:rPr>
                <w:rFonts w:ascii="Aptos" w:hAnsi="Aptos" w:eastAsia="Aptos"/>
                <w:color w:val="1D252D"/>
                <w:sz w:val="16"/>
              </w:rPr>
              <w:t>5</w:t>
            </w:r>
          </w:p>
        </w:tc>
        <w:tc>
          <w:tcPr>
            <w:tcW w:type="dxa" w:w="3888"/>
            <w:shd w:fill="F9FBFC"/>
            <w:tcMar>
              <w:top w:w="80" w:type="dxa"/>
              <w:start w:w="100" w:type="dxa"/>
              <w:bottom w:w="80" w:type="dxa"/>
              <w:end w:w="100" w:type="dxa"/>
            </w:tcMar>
          </w:tcPr>
          <w:p>
            <w:r>
              <w:rPr>
                <w:rFonts w:ascii="Aptos" w:hAnsi="Aptos" w:eastAsia="Aptos"/>
                <w:color w:val="1D252D"/>
                <w:sz w:val="16"/>
              </w:rPr>
              <w:t>Real data curation</w:t>
            </w:r>
          </w:p>
        </w:tc>
        <w:tc>
          <w:tcPr>
            <w:tcW w:type="dxa" w:w="4176"/>
            <w:shd w:fill="F9FBFC"/>
            <w:tcMar>
              <w:top w:w="80" w:type="dxa"/>
              <w:start w:w="100" w:type="dxa"/>
              <w:bottom w:w="80" w:type="dxa"/>
              <w:end w:w="100" w:type="dxa"/>
            </w:tcMar>
          </w:tcPr>
          <w:p>
            <w:r>
              <w:rPr>
                <w:rFonts w:ascii="Aptos" w:hAnsi="Aptos" w:eastAsia="Aptos"/>
                <w:color w:val="1D252D"/>
                <w:sz w:val="16"/>
              </w:rPr>
              <w:t>ChEMBL Bioactivity Curation</w:t>
            </w:r>
          </w:p>
        </w:tc>
      </w:tr>
      <w:tr>
        <w:tc>
          <w:tcPr>
            <w:tcW w:type="dxa" w:w="1152"/>
            <w:shd w:fill="FFFFFF"/>
            <w:tcMar>
              <w:top w:w="80" w:type="dxa"/>
              <w:start w:w="100" w:type="dxa"/>
              <w:bottom w:w="80" w:type="dxa"/>
              <w:end w:w="100" w:type="dxa"/>
            </w:tcMar>
          </w:tcPr>
          <w:p>
            <w:r>
              <w:rPr>
                <w:rFonts w:ascii="Aptos" w:hAnsi="Aptos" w:eastAsia="Aptos"/>
                <w:color w:val="1D252D"/>
                <w:sz w:val="16"/>
              </w:rPr>
              <w:t>6</w:t>
            </w:r>
          </w:p>
        </w:tc>
        <w:tc>
          <w:tcPr>
            <w:tcW w:type="dxa" w:w="3888"/>
            <w:shd w:fill="FFFFFF"/>
            <w:tcMar>
              <w:top w:w="80" w:type="dxa"/>
              <w:start w:w="100" w:type="dxa"/>
              <w:bottom w:w="80" w:type="dxa"/>
              <w:end w:w="100" w:type="dxa"/>
            </w:tcMar>
          </w:tcPr>
          <w:p>
            <w:r>
              <w:rPr>
                <w:rFonts w:ascii="Aptos" w:hAnsi="Aptos" w:eastAsia="Aptos"/>
                <w:color w:val="1D252D"/>
                <w:sz w:val="16"/>
              </w:rPr>
              <w:t>Medicinal chemistry interpretation and capstone</w:t>
            </w:r>
          </w:p>
        </w:tc>
        <w:tc>
          <w:tcPr>
            <w:tcW w:type="dxa" w:w="4176"/>
            <w:shd w:fill="FFFFFF"/>
            <w:tcMar>
              <w:top w:w="80" w:type="dxa"/>
              <w:start w:w="100" w:type="dxa"/>
              <w:bottom w:w="80" w:type="dxa"/>
              <w:end w:w="100" w:type="dxa"/>
            </w:tcMar>
          </w:tcPr>
          <w:p>
            <w:r>
              <w:rPr>
                <w:rFonts w:ascii="Aptos" w:hAnsi="Aptos" w:eastAsia="Aptos"/>
                <w:color w:val="1D252D"/>
                <w:sz w:val="16"/>
              </w:rPr>
              <w:t>Scaffold and Activity Cliff + Supplementary Workflows</w:t>
            </w:r>
          </w:p>
        </w:tc>
      </w:tr>
    </w:tbl>
    <w:p>
      <w:pPr>
        <w:spacing w:after="120"/>
      </w:pPr>
    </w:p>
    <w:p>
      <w:pPr>
        <w:pStyle w:val="Heading2"/>
      </w:pPr>
      <w:r>
        <w:rPr>
          <w:rFonts w:ascii="Aptos" w:hAnsi="Aptos" w:eastAsia="Aptos"/>
          <w:b/>
          <w:color w:val="12324A"/>
          <w:sz w:val="30"/>
        </w:rPr>
        <w:t>Capstone deliverable</w:t>
      </w:r>
    </w:p>
    <w:p>
      <w:pPr>
        <w:spacing w:after="120" w:line="259" w:lineRule="auto"/>
      </w:pPr>
      <w:r>
        <w:rPr>
          <w:rFonts w:ascii="Aptos" w:hAnsi="Aptos" w:eastAsia="Aptos"/>
          <w:color w:val="1D252D"/>
          <w:sz w:val="20"/>
        </w:rPr>
        <w:t>Students produce a short reproducible report: chemical question, dataset source, curation decisions, standardized structures, descriptors/fingerprints, validation strategy, model or analysis results, applicability-domain discussion, and chemical interpretation.</w:t>
      </w:r>
    </w:p>
    <w:tbl>
      <w:tblPr>
        <w:tblW w:type="auto" w:w="0"/>
        <w:jc w:val="center"/>
        <w:tblLayout w:type="fixed"/>
        <w:tblLook w:firstColumn="1" w:firstRow="1" w:lastColumn="0" w:lastRow="0" w:noHBand="0" w:noVBand="1" w:val="04A0"/>
      </w:tblPr>
      <w:tblGrid>
        <w:gridCol w:w="173"/>
        <w:gridCol w:w="8856"/>
      </w:tblGrid>
      <w:tr>
        <w:tc>
          <w:tcPr>
            <w:tcW w:type="dxa" w:w="5184"/>
            <w:shd w:fill="1AA6A6"/>
            <w:tcMar>
              <w:top w:w="120" w:type="dxa"/>
              <w:start w:w="100" w:type="dxa"/>
              <w:bottom w:w="120" w:type="dxa"/>
              <w:end w:w="100" w:type="dxa"/>
            </w:tcMar>
            <w:tcBorders>
              <w:top w:sz="0" w:val="single" w:color="EAF7F7"/>
              <w:left w:sz="0" w:val="single" w:color="EAF7F7"/>
              <w:bottom w:sz="0" w:val="single" w:color="EAF7F7"/>
              <w:right w:sz="0" w:val="single" w:color="EAF7F7"/>
            </w:tcBorders>
            <w:vAlign w:val="center"/>
          </w:tcPr>
          <w:p/>
        </w:tc>
        <w:tc>
          <w:tcPr>
            <w:tcW w:type="dxa" w:w="5184"/>
            <w:shd w:fill="EAF7F7"/>
            <w:tcMar>
              <w:top w:w="120" w:type="dxa"/>
              <w:start w:w="100" w:type="dxa"/>
              <w:bottom w:w="120" w:type="dxa"/>
              <w:end w:w="100" w:type="dxa"/>
            </w:tcMar>
            <w:tcBorders>
              <w:top w:sz="0" w:val="single" w:color="EAF7F7"/>
              <w:left w:sz="0" w:val="single" w:color="EAF7F7"/>
              <w:bottom w:sz="0" w:val="single" w:color="EAF7F7"/>
              <w:right w:sz="0" w:val="single" w:color="EAF7F7"/>
            </w:tcBorders>
            <w:vAlign w:val="center"/>
          </w:tcPr>
          <w:p>
            <w:r>
              <w:rPr>
                <w:rFonts w:ascii="Aptos" w:hAnsi="Aptos" w:eastAsia="Aptos"/>
                <w:b/>
                <w:color w:val="12324A"/>
                <w:sz w:val="21"/>
              </w:rPr>
              <w:t>Final recommendation</w:t>
            </w:r>
          </w:p>
          <w:p>
            <w:pPr>
              <w:spacing w:before="40" w:after="0"/>
            </w:pPr>
            <w:r>
              <w:rPr>
                <w:rFonts w:ascii="Aptos" w:hAnsi="Aptos" w:eastAsia="Aptos"/>
                <w:color w:val="1D252D"/>
                <w:sz w:val="18"/>
              </w:rPr>
              <w:t>Use Orange to make the workflow visible, but always bring the discussion back to chemistry: structure, data quality, assumptions, uncertainty, and chemical meaning.</w:t>
            </w:r>
          </w:p>
        </w:tc>
      </w:tr>
    </w:tbl>
    <w:p>
      <w:pPr>
        <w:spacing w:after="40"/>
      </w:pPr>
    </w:p>
    <w:p>
      <w:r>
        <w:br w:type="page"/>
      </w:r>
    </w:p>
    <w:p>
      <w:pPr>
        <w:spacing w:after="40"/>
      </w:pPr>
      <w:r>
        <w:rPr>
          <w:rFonts w:ascii="Aptos" w:hAnsi="Aptos" w:eastAsia="Aptos"/>
          <w:b/>
          <w:color w:val="1AA6A6"/>
          <w:sz w:val="17"/>
        </w:rPr>
        <w:t>FOR FUTURE TEACHING MATERIALS</w:t>
      </w:r>
    </w:p>
    <w:p>
      <w:pPr>
        <w:pStyle w:val="Heading1"/>
        <w:spacing w:after="200"/>
      </w:pPr>
      <w:r>
        <w:rPr>
          <w:rFonts w:ascii="Aptos" w:hAnsi="Aptos" w:eastAsia="Aptos"/>
          <w:b/>
          <w:color w:val="12324A"/>
          <w:sz w:val="48"/>
        </w:rPr>
        <w:t>Appendix. Visual and editorial style guide</w:t>
      </w:r>
    </w:p>
    <w:p>
      <w:pPr>
        <w:spacing w:after="120" w:line="259" w:lineRule="auto"/>
      </w:pPr>
      <w:r>
        <w:rPr>
          <w:rFonts w:ascii="Aptos" w:hAnsi="Aptos" w:eastAsia="Aptos"/>
          <w:color w:val="1D252D"/>
          <w:sz w:val="20"/>
        </w:rPr>
        <w:t>Use this compact style guide to keep future worksheets and booklets visually consistent.</w:t>
      </w:r>
    </w:p>
    <w:tbl>
      <w:tblPr>
        <w:tblStyle w:val="TableGrid"/>
        <w:tblW w:type="auto" w:w="0"/>
        <w:jc w:val="center"/>
        <w:tblLayout w:type="fixed"/>
        <w:tblLook w:firstColumn="1" w:firstRow="1" w:lastColumn="0" w:lastRow="0" w:noHBand="0" w:noVBand="1" w:val="04A0"/>
      </w:tblPr>
      <w:tblGrid>
        <w:gridCol w:w="2304"/>
        <w:gridCol w:w="6912"/>
      </w:tblGrid>
      <w:tr>
        <w:tc>
          <w:tcPr>
            <w:tcW w:type="dxa" w:w="5184"/>
            <w:shd w:fill="12324A"/>
            <w:tcMar>
              <w:top w:w="90" w:type="dxa"/>
              <w:start w:w="100" w:type="dxa"/>
              <w:bottom w:w="90" w:type="dxa"/>
              <w:end w:w="100" w:type="dxa"/>
            </w:tcMar>
          </w:tcPr>
          <w:p>
            <w:r>
              <w:rPr>
                <w:rFonts w:ascii="Aptos" w:hAnsi="Aptos" w:eastAsia="Aptos"/>
                <w:b/>
                <w:color w:val="FFFFFF"/>
                <w:sz w:val="17"/>
              </w:rPr>
              <w:t>Element</w:t>
            </w:r>
          </w:p>
        </w:tc>
        <w:tc>
          <w:tcPr>
            <w:tcW w:type="dxa" w:w="5184"/>
            <w:shd w:fill="12324A"/>
            <w:tcMar>
              <w:top w:w="90" w:type="dxa"/>
              <w:start w:w="100" w:type="dxa"/>
              <w:bottom w:w="90" w:type="dxa"/>
              <w:end w:w="100" w:type="dxa"/>
            </w:tcMar>
          </w:tcPr>
          <w:p>
            <w:r>
              <w:rPr>
                <w:rFonts w:ascii="Aptos" w:hAnsi="Aptos" w:eastAsia="Aptos"/>
                <w:b/>
                <w:color w:val="FFFFFF"/>
                <w:sz w:val="17"/>
              </w:rPr>
              <w:t>Guideline</w:t>
            </w:r>
          </w:p>
        </w:tc>
      </w:tr>
      <w:tr>
        <w:tc>
          <w:tcPr>
            <w:tcW w:type="dxa" w:w="2304"/>
            <w:shd w:fill="F9FBFC"/>
            <w:tcMar>
              <w:top w:w="80" w:type="dxa"/>
              <w:start w:w="100" w:type="dxa"/>
              <w:bottom w:w="80" w:type="dxa"/>
              <w:end w:w="100" w:type="dxa"/>
            </w:tcMar>
          </w:tcPr>
          <w:p>
            <w:r>
              <w:rPr>
                <w:rFonts w:ascii="Aptos" w:hAnsi="Aptos" w:eastAsia="Aptos"/>
                <w:color w:val="1D252D"/>
                <w:sz w:val="16"/>
              </w:rPr>
              <w:t>Tone</w:t>
            </w:r>
          </w:p>
        </w:tc>
        <w:tc>
          <w:tcPr>
            <w:tcW w:type="dxa" w:w="6912"/>
            <w:shd w:fill="F9FBFC"/>
            <w:tcMar>
              <w:top w:w="80" w:type="dxa"/>
              <w:start w:w="100" w:type="dxa"/>
              <w:bottom w:w="80" w:type="dxa"/>
              <w:end w:w="100" w:type="dxa"/>
            </w:tcMar>
          </w:tcPr>
          <w:p>
            <w:r>
              <w:rPr>
                <w:rFonts w:ascii="Aptos" w:hAnsi="Aptos" w:eastAsia="Aptos"/>
                <w:color w:val="1D252D"/>
                <w:sz w:val="16"/>
              </w:rPr>
              <w:t>Clear, student-facing, evidence-oriented, with short paragraphs and explicit outputs.</w:t>
            </w:r>
          </w:p>
        </w:tc>
      </w:tr>
      <w:tr>
        <w:tc>
          <w:tcPr>
            <w:tcW w:type="dxa" w:w="2304"/>
            <w:shd w:fill="FFFFFF"/>
            <w:tcMar>
              <w:top w:w="80" w:type="dxa"/>
              <w:start w:w="100" w:type="dxa"/>
              <w:bottom w:w="80" w:type="dxa"/>
              <w:end w:w="100" w:type="dxa"/>
            </w:tcMar>
          </w:tcPr>
          <w:p>
            <w:r>
              <w:rPr>
                <w:rFonts w:ascii="Aptos" w:hAnsi="Aptos" w:eastAsia="Aptos"/>
                <w:color w:val="1D252D"/>
                <w:sz w:val="16"/>
              </w:rPr>
              <w:t>Color system</w:t>
            </w:r>
          </w:p>
        </w:tc>
        <w:tc>
          <w:tcPr>
            <w:tcW w:type="dxa" w:w="6912"/>
            <w:shd w:fill="FFFFFF"/>
            <w:tcMar>
              <w:top w:w="80" w:type="dxa"/>
              <w:start w:w="100" w:type="dxa"/>
              <w:bottom w:w="80" w:type="dxa"/>
              <w:end w:w="100" w:type="dxa"/>
            </w:tcMar>
          </w:tcPr>
          <w:p>
            <w:r>
              <w:rPr>
                <w:rFonts w:ascii="Aptos" w:hAnsi="Aptos" w:eastAsia="Aptos"/>
                <w:color w:val="1D252D"/>
                <w:sz w:val="16"/>
              </w:rPr>
              <w:t>Navy for structure, teal for guidance, orange for activities, red for warnings, green for successful interpretation.</w:t>
            </w:r>
          </w:p>
        </w:tc>
      </w:tr>
      <w:tr>
        <w:tc>
          <w:tcPr>
            <w:tcW w:type="dxa" w:w="2304"/>
            <w:shd w:fill="F9FBFC"/>
            <w:tcMar>
              <w:top w:w="80" w:type="dxa"/>
              <w:start w:w="100" w:type="dxa"/>
              <w:bottom w:w="80" w:type="dxa"/>
              <w:end w:w="100" w:type="dxa"/>
            </w:tcMar>
          </w:tcPr>
          <w:p>
            <w:r>
              <w:rPr>
                <w:rFonts w:ascii="Aptos" w:hAnsi="Aptos" w:eastAsia="Aptos"/>
                <w:color w:val="1D252D"/>
                <w:sz w:val="16"/>
              </w:rPr>
              <w:t>Worksheet design</w:t>
            </w:r>
          </w:p>
        </w:tc>
        <w:tc>
          <w:tcPr>
            <w:tcW w:type="dxa" w:w="6912"/>
            <w:shd w:fill="F9FBFC"/>
            <w:tcMar>
              <w:top w:w="80" w:type="dxa"/>
              <w:start w:w="100" w:type="dxa"/>
              <w:bottom w:w="80" w:type="dxa"/>
              <w:end w:w="100" w:type="dxa"/>
            </w:tcMar>
          </w:tcPr>
          <w:p>
            <w:r>
              <w:rPr>
                <w:rFonts w:ascii="Aptos" w:hAnsi="Aptos" w:eastAsia="Aptos"/>
                <w:color w:val="1D252D"/>
                <w:sz w:val="16"/>
              </w:rPr>
              <w:t>Start with context and ILOs; include one minimal workflow, one extension, guiding questions, and a rubric.</w:t>
            </w:r>
          </w:p>
        </w:tc>
      </w:tr>
      <w:tr>
        <w:tc>
          <w:tcPr>
            <w:tcW w:type="dxa" w:w="2304"/>
            <w:shd w:fill="FFFFFF"/>
            <w:tcMar>
              <w:top w:w="80" w:type="dxa"/>
              <w:start w:w="100" w:type="dxa"/>
              <w:bottom w:w="80" w:type="dxa"/>
              <w:end w:w="100" w:type="dxa"/>
            </w:tcMar>
          </w:tcPr>
          <w:p>
            <w:r>
              <w:rPr>
                <w:rFonts w:ascii="Aptos" w:hAnsi="Aptos" w:eastAsia="Aptos"/>
                <w:color w:val="1D252D"/>
                <w:sz w:val="16"/>
              </w:rPr>
              <w:t>Tables</w:t>
            </w:r>
          </w:p>
        </w:tc>
        <w:tc>
          <w:tcPr>
            <w:tcW w:type="dxa" w:w="6912"/>
            <w:shd w:fill="FFFFFF"/>
            <w:tcMar>
              <w:top w:w="80" w:type="dxa"/>
              <w:start w:w="100" w:type="dxa"/>
              <w:bottom w:w="80" w:type="dxa"/>
              <w:end w:w="100" w:type="dxa"/>
            </w:tcMar>
          </w:tcPr>
          <w:p>
            <w:r>
              <w:rPr>
                <w:rFonts w:ascii="Aptos" w:hAnsi="Aptos" w:eastAsia="Aptos"/>
                <w:color w:val="1D252D"/>
                <w:sz w:val="16"/>
              </w:rPr>
              <w:t>Use compact rows and avoid overloading a page with too many columns.</w:t>
            </w:r>
          </w:p>
        </w:tc>
      </w:tr>
      <w:tr>
        <w:tc>
          <w:tcPr>
            <w:tcW w:type="dxa" w:w="2304"/>
            <w:shd w:fill="F9FBFC"/>
            <w:tcMar>
              <w:top w:w="80" w:type="dxa"/>
              <w:start w:w="100" w:type="dxa"/>
              <w:bottom w:w="80" w:type="dxa"/>
              <w:end w:w="100" w:type="dxa"/>
            </w:tcMar>
          </w:tcPr>
          <w:p>
            <w:r>
              <w:rPr>
                <w:rFonts w:ascii="Aptos" w:hAnsi="Aptos" w:eastAsia="Aptos"/>
                <w:color w:val="1D252D"/>
                <w:sz w:val="16"/>
              </w:rPr>
              <w:t>Workflow text</w:t>
            </w:r>
          </w:p>
        </w:tc>
        <w:tc>
          <w:tcPr>
            <w:tcW w:type="dxa" w:w="6912"/>
            <w:shd w:fill="F9FBFC"/>
            <w:tcMar>
              <w:top w:w="80" w:type="dxa"/>
              <w:start w:w="100" w:type="dxa"/>
              <w:bottom w:w="80" w:type="dxa"/>
              <w:end w:w="100" w:type="dxa"/>
            </w:tcMar>
          </w:tcPr>
          <w:p>
            <w:r>
              <w:rPr>
                <w:rFonts w:ascii="Aptos" w:hAnsi="Aptos" w:eastAsia="Aptos"/>
                <w:color w:val="1D252D"/>
                <w:sz w:val="16"/>
              </w:rPr>
              <w:t>Use File -&gt; Standardizer -&gt; Descriptor -&gt; Model notation for accessibility and easy copying.</w:t>
            </w:r>
          </w:p>
        </w:tc>
      </w:tr>
      <w:tr>
        <w:tc>
          <w:tcPr>
            <w:tcW w:type="dxa" w:w="2304"/>
            <w:shd w:fill="FFFFFF"/>
            <w:tcMar>
              <w:top w:w="80" w:type="dxa"/>
              <w:start w:w="100" w:type="dxa"/>
              <w:bottom w:w="80" w:type="dxa"/>
              <w:end w:w="100" w:type="dxa"/>
            </w:tcMar>
          </w:tcPr>
          <w:p>
            <w:r>
              <w:rPr>
                <w:rFonts w:ascii="Aptos" w:hAnsi="Aptos" w:eastAsia="Aptos"/>
                <w:color w:val="1D252D"/>
                <w:sz w:val="16"/>
              </w:rPr>
              <w:t>Assessment</w:t>
            </w:r>
          </w:p>
        </w:tc>
        <w:tc>
          <w:tcPr>
            <w:tcW w:type="dxa" w:w="6912"/>
            <w:shd w:fill="FFFFFF"/>
            <w:tcMar>
              <w:top w:w="80" w:type="dxa"/>
              <w:start w:w="100" w:type="dxa"/>
              <w:bottom w:w="80" w:type="dxa"/>
              <w:end w:w="100" w:type="dxa"/>
            </w:tcMar>
          </w:tcPr>
          <w:p>
            <w:r>
              <w:rPr>
                <w:rFonts w:ascii="Aptos" w:hAnsi="Aptos" w:eastAsia="Aptos"/>
                <w:color w:val="1D252D"/>
                <w:sz w:val="16"/>
              </w:rPr>
              <w:t>Prefer rubrics that reward interpretation and reproducibility, not only software output.</w:t>
            </w:r>
          </w:p>
        </w:tc>
      </w:tr>
    </w:tbl>
    <w:p>
      <w:pPr>
        <w:spacing w:after="120"/>
      </w:pP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6"/>
      </w:rPr>
      <w:t>Orange in Chemistry Teaching Booklet | OWChemInf teaching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