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</w:rPr>
        <w:t>Отладчик</w:t>
      </w:r>
      <w:r>
        <w:rPr>
          <w:b w:val="false"/>
          <w:bCs w:val="false"/>
        </w:rPr>
        <w:t xml:space="preserve"> - инструмент для пошагового выполнения программы, анализа состояния переменных и поиска ошибок.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</w:rPr>
        <w:t>Разница</w:t>
      </w:r>
      <w:r>
        <w:rPr>
          <w:b w:val="false"/>
          <w:bCs w:val="false"/>
        </w:rPr>
        <w:t>: отладчик работает с выполняемой программой, дизассемблер преобразует машинный код в ассемблер.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</w:rPr>
        <w:t>Типы ошибок</w:t>
      </w:r>
      <w:r>
        <w:rPr>
          <w:b w:val="false"/>
          <w:bCs w:val="false"/>
        </w:rPr>
        <w:t>: логические, исключения, утечки памяти, бесконечные циклы.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</w:rPr>
        <w:t>Точка останова</w:t>
      </w:r>
      <w:r>
        <w:rPr>
          <w:b w:val="false"/>
          <w:bCs w:val="false"/>
        </w:rPr>
        <w:t xml:space="preserve"> - метка, где программа приостанавливает выполнение для анализа.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В VS: F5 или Debug → Start Debugging.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</w:rPr>
        <w:t>Команды</w:t>
      </w:r>
      <w:r>
        <w:rPr>
          <w:b w:val="false"/>
          <w:bCs w:val="false"/>
        </w:rPr>
        <w:t>: Step Into (F11) - войти в функцию, Step Over (F10) - пропустить функцию, Continue (F5) - продолжить.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Через окна Locals, Autos или Watch.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</w:rPr>
        <w:t>Watch-окно</w:t>
      </w:r>
      <w:r>
        <w:rPr>
          <w:b w:val="false"/>
          <w:bCs w:val="false"/>
        </w:rPr>
        <w:t xml:space="preserve"> - для отслеживания конкретных переменных/выражений.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Использовать трассировку и проверять состояние перед падением.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</w:rPr>
        <w:t>Дизассемблер</w:t>
      </w:r>
      <w:r>
        <w:rPr>
          <w:b w:val="false"/>
          <w:bCs w:val="false"/>
        </w:rPr>
        <w:t xml:space="preserve"> - инструмент для преобразования машинного кода в ассемблер.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Ghidra, IDA Pro, radare2, Hopper.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Искать entry point или строку "main" в символах.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Анализируя сравнения строк и условные переходы.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Через импортируемые функции или секции PE/ELF.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Установить точку останова перед делением, проверить значение делителя.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Анализ дизассемблированного кода и восстановление логики.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По именам функций, вызовам API, строковым константам.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По наличию криптографических функций (AES, RSA и т.д.).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Анализ поведения, вызовов API, скрытых функций.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b w:val="false"/>
          <w:bCs w:val="false"/>
        </w:rPr>
        <w:t>Статический</w:t>
      </w:r>
      <w:r>
        <w:rPr>
          <w:b w:val="false"/>
          <w:bCs w:val="false"/>
        </w:rPr>
        <w:t xml:space="preserve"> - анализ без выполнения, </w:t>
      </w:r>
      <w:r>
        <w:rPr>
          <w:rStyle w:val="Strong"/>
          <w:b w:val="false"/>
          <w:bCs w:val="false"/>
        </w:rPr>
        <w:t>динамический</w:t>
      </w:r>
      <w:r>
        <w:rPr>
          <w:b w:val="false"/>
          <w:bCs w:val="false"/>
        </w:rPr>
        <w:t xml:space="preserve"> - во время работы.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Не использовать для взлома ПО, соблюдать законы об авторских правах.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Open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mpora LGC Uni" w:hAnsi="Tempora LGC Uni" w:eastAsia="DejaVu Sans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empora LGC Uni" w:hAnsi="Tempora LGC Uni" w:eastAsia="DejaVu Sans" w:cs="Lohit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4"/>
    <w:next w:val="BodyText"/>
    <w:qFormat/>
    <w:pPr>
      <w:spacing w:before="200" w:after="120"/>
      <w:outlineLvl w:val="1"/>
    </w:pPr>
    <w:rPr>
      <w:rFonts w:ascii="Tempora LGC Uni" w:hAnsi="Tempora LGC Uni" w:eastAsia="DejaVu Sans" w:cs="Lohit Devanagari"/>
      <w:b/>
      <w:bCs/>
      <w:sz w:val="36"/>
      <w:szCs w:val="36"/>
    </w:rPr>
  </w:style>
  <w:style w:type="character" w:styleId="Style13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LibreOffice/7.6.4.1$Linux_X86_64 LibreOffice_project/60$Build-1</Application>
  <AppVersion>15.0000</AppVersion>
  <Pages>1</Pages>
  <Words>198</Words>
  <Characters>1222</Characters>
  <CharactersWithSpaces>1378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2025-06-06T15:50:24Z</dcterms:created>
  <dc:creator/>
  <dc:description/>
  <dc:language>ru-RU</dc:language>
  <cp:lastModifiedBy/>
  <dcterms:modified xsi:type="dcterms:W3CDTF">2025-06-06T15:51:26Z</dcterms:modified>
  <cp:revision>1</cp:revision>
  <dc:subject/>
  <dc:title/>
</cp:coreProperties>
</file>