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en el tiempo de la asignatura, sin considerar materiales ni factores externos. </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No produce texto en inglés</w:t>
            </w:r>
          </w:p>
          <w:p w:rsidR="00000000" w:rsidDel="00000000" w:rsidP="00000000" w:rsidRDefault="00000000" w:rsidRPr="00000000" w14:paraId="00000113">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2FkrcaUhfaAGIkN5NN2Yy8Tu/w==">CgMxLjA4AHIhMXF3WDJZQ0VXbFZVZUF3elJ3UWRBY2VqVFZRUVl0dElk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