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«___»_____________20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 xml:space="preserve">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Линейная алгебра и функция нескольких переменных</w:t>
      </w:r>
      <w:bookmarkEnd w:id="0"/>
      <w:r w:rsidR="0085792F">
        <w:rPr>
          <w:b/>
          <w:bCs/>
          <w:sz w:val="36"/>
          <w:szCs w:val="36"/>
        </w:rPr>
        <w:t xml:space="preserve">.</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09.03.03 Прикладная информатика</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 xml:space="preserve">«</w:t>
      </w:r>
      <w:r w:rsidR="00F56105" w:rsidRPr="00F56105">
        <w:rPr>
          <w:rFonts w:eastAsia="Times New Roman"/>
          <w:b/>
          <w:bCs/>
          <w:color w:val="auto"/>
          <w:sz w:val="28"/>
          <w:szCs w:val="28"/>
          <w:shd w:val="clear" w:color="auto" w:fill="FFFFFF" w:themeFill="background1"/>
        </w:rPr>
        <w:t xml:space="preserve">Корпоративные информационные технологии</w:t>
      </w:r>
      <w:r w:rsidRPr="00DE5B72">
        <w:rPr>
          <w:rFonts w:eastAsia="Times New Roman"/>
          <w:b/>
          <w:bCs/>
          <w:color w:val="auto"/>
          <w:sz w:val="28"/>
          <w:szCs w:val="28"/>
        </w:rPr>
        <w:t xml:space="preserve">».</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2020</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 xml:space="preserve">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2022</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 xml:space="preserve">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xml:space="preserve">09.03.03 Прикладная информатика</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формирование и развитие ключевых компетенций в области профессионального общения, в частности, формирование навыков импровизационного </w:t>
      </w:r>
      <w:proofErr w:type="spellStart"/>
      <w:r w:rsidRPr="00C93F3D">
        <w:rPr>
          <w:rFonts w:ascii="Times" w:eastAsia="Times" w:hAnsi="Times" w:cs="Times"/>
          <w:sz w:val="28"/>
          <w:szCs w:val="28"/>
        </w:rPr>
        <w:t>сторителлинга</w:t>
      </w:r>
      <w:proofErr w:type="spellEnd"/>
      <w:r w:rsidRPr="00C93F3D">
        <w:rPr>
          <w:rFonts w:ascii="Times" w:eastAsia="Times" w:hAnsi="Times" w:cs="Times"/>
          <w:sz w:val="28"/>
          <w:szCs w:val="28"/>
        </w:rPr>
        <w:t>,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 xml:space="preserve">«</w:t>
      </w:r>
      <w:r w:rsidR="00F56105" w:rsidRPr="00F56105">
        <w:rPr>
          <w:sz w:val="28"/>
          <w:szCs w:val="28"/>
          <w:lang w:bidi="ru-RU"/>
        </w:rPr>
        <w:t xml:space="preserve">Линейная алгебра и функция нескольких переменных</w:t>
      </w:r>
      <w:r w:rsidRPr="00DD05CD">
        <w:rPr>
          <w:sz w:val="28"/>
          <w:szCs w:val="28"/>
          <w:lang w:bidi="ru-RU"/>
        </w:rPr>
        <w:t xml:space="preserve">»</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обязательная часть</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 xml:space="preserve">Дисциплина «</w:t>
      </w:r>
      <w:r w:rsidR="007135A3" w:rsidRPr="007135A3">
        <w:rPr>
          <w:sz w:val="28"/>
          <w:szCs w:val="28"/>
        </w:rPr>
        <w:t xml:space="preserve">Линейная алгебра и функция нескольких переменных</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C03D39" w:rsidRPr="005C1D90"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Общепрофессиональные</w:t>
            </w:r>
            <w:r w:rsidRPr="00FC39A4">
              <w:rPr>
                <w:b/>
                <w:sz w:val="24"/>
                <w:szCs w:val="24"/>
                <w:lang w:val="en-US" w:eastAsia="en-US"/>
              </w:rPr>
              <w:t xml:space="preserve"> </w:t>
            </w:r>
            <w:r w:rsidRPr="00C03D39">
              <w:rPr>
                <w:b/>
                <w:sz w:val="24"/>
                <w:szCs w:val="24"/>
                <w:lang w:eastAsia="en-US"/>
              </w:rPr>
              <w:t xml:space="preserve">компетенции</w:t>
            </w:r>
          </w:p>
        </w:tc>
      </w:tr>
      <w:tr w:rsidR="00C03D39" w:rsidRPr="005C1D90"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xml:space="preserve">ОПК-1</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ОПК-1.1. Знать: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Основы высшей математики</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ОПК-1.2. Уметь: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r>
      <w:bookmarkEnd w:id="5"/>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 xml:space="preserve">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4</w:t>
      </w:r>
      <w:r>
        <w:rPr>
          <w:sz w:val="28"/>
          <w:szCs w:val="28"/>
        </w:rPr>
        <w:t xml:space="preserve"> </w:t>
      </w:r>
      <w:proofErr w:type="spellStart"/>
      <w:r>
        <w:rPr>
          <w:sz w:val="28"/>
          <w:szCs w:val="28"/>
        </w:rPr>
        <w:t xml:space="preserve">зачетн</w:t>
      </w:r>
      <w:proofErr w:type="spellEnd"/>
      <w:r w:rsidR="004D1EF1" w:rsidRPr="004D1EF1">
        <w:rPr>
          <w:sz w:val="28"/>
          <w:szCs w:val="28"/>
        </w:rPr>
        <w:t xml:space="preserve"/>
      </w:r>
      <w:proofErr w:type="spellStart"/>
      <w:r w:rsidRPr="004D1EF1">
        <w:rPr>
          <w:sz w:val="28"/>
          <w:szCs w:val="28"/>
        </w:rPr>
        <w:t xml:space="preserve">ых</w:t>
      </w:r>
      <w:proofErr w:type="spellEnd"/>
      <w:r w:rsidR="004D1EF1" w:rsidRPr="004D1EF1">
        <w:rPr>
          <w:sz w:val="28"/>
          <w:szCs w:val="28"/>
        </w:rPr>
        <w:t xml:space="preserve"/>
      </w:r>
      <w:r w:rsidR="00E91EE0" w:rsidRPr="00E91EE0">
        <w:rPr>
          <w:sz w:val="28"/>
          <w:szCs w:val="28"/>
        </w:rPr>
        <w:t xml:space="preserve"> </w:t>
      </w:r>
      <w:r>
        <w:rPr>
          <w:sz w:val="28"/>
          <w:szCs w:val="28"/>
        </w:rPr>
        <w:t xml:space="preserve">единиц</w:t>
      </w:r>
      <w:r w:rsidR="004D1EF1" w:rsidRPr="00BE18F0">
        <w:rPr>
          <w:sz w:val="28"/>
          <w:szCs w:val="28"/>
        </w:rPr>
        <w:t xml:space="preserve"/>
      </w:r>
      <w:r w:rsidR="000B4474">
        <w:rPr>
          <w:sz w:val="28"/>
          <w:szCs w:val="28"/>
        </w:rPr>
        <w:t xml:space="preserve">ы</w:t>
      </w:r>
      <w:r w:rsidR="000B4474" w:rsidRPr="00BE18F0">
        <w:rPr>
          <w:sz w:val="28"/>
          <w:szCs w:val="28"/>
        </w:rPr>
        <w:t xml:space="preserve"/>
      </w:r>
      <w:r w:rsidR="000B4474" w:rsidRPr="00C812F1">
        <w:rPr>
          <w:sz w:val="28"/>
          <w:szCs w:val="28"/>
        </w:rPr>
        <w:t xml:space="preserve">, </w:t>
      </w:r>
      <w:r>
        <w:rPr>
          <w:sz w:val="28"/>
          <w:szCs w:val="28"/>
        </w:rPr>
        <w:t>т</w:t>
      </w:r>
      <w:r w:rsidRPr="00C812F1">
        <w:rPr>
          <w:sz w:val="28"/>
          <w:szCs w:val="28"/>
        </w:rPr>
        <w:t>.</w:t>
      </w:r>
      <w:r>
        <w:rPr>
          <w:sz w:val="28"/>
          <w:szCs w:val="28"/>
        </w:rPr>
        <w:t xml:space="preserve">е</w:t>
      </w:r>
      <w:r w:rsidRPr="00C812F1">
        <w:rPr>
          <w:sz w:val="28"/>
          <w:szCs w:val="28"/>
        </w:rPr>
        <w:t xml:space="preserve">. </w:t>
      </w:r>
      <w:r w:rsidR="000164C4" w:rsidRPr="00C812F1">
        <w:rPr>
          <w:sz w:val="28"/>
          <w:szCs w:val="28"/>
        </w:rPr>
        <w:t xml:space="preserve">144 </w:t>
      </w:r>
      <w:proofErr w:type="spellStart"/>
      <w:r>
        <w:rPr>
          <w:sz w:val="28"/>
          <w:szCs w:val="28"/>
        </w:rPr>
        <w:t xml:space="preserve">академическ</w:t>
      </w:r>
      <w:proofErr w:type="spellEnd"/>
      <w:r w:rsidR="00B46870" w:rsidRPr="00B46870">
        <w:rPr>
          <w:sz w:val="28"/>
          <w:szCs w:val="28"/>
        </w:rPr>
        <w:t xml:space="preserve"/>
      </w:r>
      <w:r>
        <w:rPr>
          <w:sz w:val="28"/>
          <w:szCs w:val="28"/>
        </w:rPr>
        <w:t xml:space="preserve">их</w:t>
      </w:r>
      <w:r w:rsidR="00B46870" w:rsidRPr="00B46870">
        <w:rPr>
          <w:sz w:val="28"/>
          <w:szCs w:val="28"/>
        </w:rPr>
        <w:t xml:space="preserve"/>
      </w:r>
      <w:r w:rsidRPr="00C812F1">
        <w:rPr>
          <w:sz w:val="28"/>
          <w:szCs w:val="28"/>
        </w:rPr>
        <w:t xml:space="preserve"> </w:t>
      </w:r>
      <w:r>
        <w:rPr>
          <w:sz w:val="28"/>
          <w:szCs w:val="28"/>
        </w:rPr>
        <w:t xml:space="preserve">час</w:t>
      </w:r>
      <w:r w:rsidR="00926A4F" w:rsidRPr="00926A4F">
        <w:rPr>
          <w:sz w:val="28"/>
          <w:szCs w:val="28"/>
        </w:rPr>
        <w:t xml:space="preserve"/>
      </w:r>
      <w:r w:rsidR="00926A4F">
        <w:rPr>
          <w:sz w:val="28"/>
          <w:szCs w:val="28"/>
          <w:lang w:val="en-US"/>
        </w:rPr>
        <w:t xml:space="preserve">a</w:t>
      </w:r>
      <w:r w:rsidR="00926A4F" w:rsidRPr="00926A4F">
        <w:rPr>
          <w:sz w:val="28"/>
          <w:szCs w:val="28"/>
        </w:rPr>
        <w:t xml:space="preserve"/>
      </w:r>
      <w:r w:rsidRPr="00C812F1">
        <w:rPr>
          <w:sz w:val="28"/>
          <w:szCs w:val="28"/>
        </w:rPr>
        <w:t xml:space="preserve"> (</w:t>
      </w:r>
      <w:r>
        <w:rPr>
          <w:sz w:val="28"/>
          <w:szCs w:val="28"/>
        </w:rPr>
        <w:t>из</w:t>
      </w:r>
      <w:r w:rsidRPr="00C812F1">
        <w:rPr>
          <w:sz w:val="28"/>
          <w:szCs w:val="28"/>
        </w:rPr>
        <w:t xml:space="preserve"> </w:t>
      </w:r>
      <w:r>
        <w:rPr>
          <w:sz w:val="28"/>
          <w:szCs w:val="28"/>
        </w:rPr>
        <w:t xml:space="preserve">них</w:t>
      </w:r>
      <w:r w:rsidRPr="00C812F1">
        <w:rPr>
          <w:sz w:val="28"/>
          <w:szCs w:val="28"/>
        </w:rPr>
        <w:t xml:space="preserve"> </w:t>
      </w:r>
      <w:r w:rsidR="000164C4" w:rsidRPr="00C812F1">
        <w:rPr>
          <w:sz w:val="28"/>
          <w:szCs w:val="28"/>
        </w:rPr>
        <w:t xml:space="preserve">72</w:t>
      </w:r>
      <w:r w:rsidRPr="00C812F1">
        <w:rPr>
          <w:sz w:val="28"/>
          <w:szCs w:val="28"/>
        </w:rPr>
        <w:t xml:space="preserve"> </w:t>
      </w:r>
      <w:r>
        <w:rPr>
          <w:sz w:val="28"/>
          <w:szCs w:val="28"/>
        </w:rPr>
        <w:t xml:space="preserve">час</w:t>
      </w:r>
      <w:r w:rsidR="00256E0D" w:rsidRPr="00926A4F">
        <w:rPr>
          <w:sz w:val="28"/>
          <w:szCs w:val="28"/>
        </w:rPr>
        <w:t xml:space="preserve"/>
      </w:r>
      <w:r w:rsidR="00256E0D">
        <w:rPr>
          <w:sz w:val="28"/>
          <w:szCs w:val="28"/>
          <w:lang w:val="en-US"/>
        </w:rPr>
        <w:t xml:space="preserve">a</w:t>
      </w:r>
      <w:r w:rsidR="00256E0D" w:rsidRPr="00926A4F">
        <w:rPr>
          <w:sz w:val="28"/>
          <w:szCs w:val="28"/>
        </w:rPr>
        <w:t xml:space="preserve"/>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 xml:space="preserve">).</w:t>
      </w:r>
      <w:r w:rsidR="000164C4" w:rsidRPr="000164C4">
        <w:rPr>
          <w:sz w:val="28"/>
          <w:szCs w:val="28"/>
        </w:rPr>
        <w:t xml:space="preserve"/>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первом </w:t>
      </w:r>
      <w:r>
        <w:rPr>
          <w:sz w:val="28"/>
          <w:szCs w:val="28"/>
        </w:rPr>
        <w:t xml:space="preserve">курсе в</w:t>
      </w:r>
      <w:r w:rsidR="00290449" w:rsidRPr="00290449">
        <w:rPr>
          <w:sz w:val="28"/>
          <w:szCs w:val="28"/>
        </w:rPr>
        <w:t xml:space="preserve"/>
      </w:r>
      <w:r>
        <w:rPr>
          <w:sz w:val="28"/>
          <w:szCs w:val="28"/>
        </w:rPr>
        <w:t xml:space="preserve"> </w:t>
      </w:r>
      <w:r w:rsidR="00290449" w:rsidRPr="00290449">
        <w:rPr>
          <w:b/>
          <w:sz w:val="28"/>
          <w:szCs w:val="28"/>
        </w:rPr>
        <w:t xml:space="preserve">первом </w:t>
      </w:r>
      <w:r>
        <w:rPr>
          <w:sz w:val="28"/>
          <w:szCs w:val="28"/>
        </w:rPr>
        <w:t xml:space="preserve">семестре выделяется </w:t>
      </w:r>
      <w:r w:rsidR="000164C4" w:rsidRPr="000164C4">
        <w:rPr>
          <w:sz w:val="28"/>
          <w:szCs w:val="28"/>
        </w:rPr>
        <w:t xml:space="preserve">4</w:t>
      </w:r>
      <w:r>
        <w:rPr>
          <w:sz w:val="28"/>
          <w:szCs w:val="28"/>
        </w:rPr>
        <w:t xml:space="preserve"> </w:t>
      </w:r>
      <w:proofErr w:type="spellStart"/>
      <w:r>
        <w:rPr>
          <w:sz w:val="28"/>
          <w:szCs w:val="28"/>
        </w:rPr>
        <w:t xml:space="preserve">зачетн</w:t>
      </w:r>
      <w:proofErr w:type="spellEnd"/>
      <w:r w:rsidR="006B1409" w:rsidRPr="006B1409">
        <w:rPr>
          <w:sz w:val="28"/>
          <w:szCs w:val="28"/>
        </w:rPr>
        <w:t xml:space="preserve"/>
      </w:r>
      <w:proofErr w:type="spellStart"/>
      <w:r>
        <w:rPr>
          <w:sz w:val="28"/>
          <w:szCs w:val="28"/>
        </w:rPr>
        <w:t xml:space="preserve">ых</w:t>
      </w:r>
      <w:proofErr w:type="spellEnd"/>
      <w:r w:rsidR="006B1409" w:rsidRPr="006B1409">
        <w:rPr>
          <w:sz w:val="28"/>
          <w:szCs w:val="28"/>
        </w:rPr>
        <w:t xml:space="preserve"/>
      </w:r>
      <w:r>
        <w:rPr>
          <w:sz w:val="28"/>
          <w:szCs w:val="28"/>
        </w:rPr>
        <w:t xml:space="preserve"> единиц</w:t>
      </w:r>
      <w:r w:rsidR="006B1409" w:rsidRPr="006B1409">
        <w:rPr>
          <w:sz w:val="28"/>
          <w:szCs w:val="28"/>
        </w:rPr>
        <w:t xml:space="preserve"/>
      </w:r>
      <w:r w:rsidR="006B1409">
        <w:rPr>
          <w:sz w:val="28"/>
          <w:szCs w:val="28"/>
        </w:rPr>
        <w:t xml:space="preserve">ы</w:t>
      </w:r>
      <w:r w:rsidR="006B1409" w:rsidRPr="006B1409">
        <w:rPr>
          <w:sz w:val="28"/>
          <w:szCs w:val="28"/>
        </w:rPr>
        <w:t xml:space="preserve"/>
      </w:r>
      <w:r>
        <w:rPr>
          <w:sz w:val="28"/>
          <w:szCs w:val="28"/>
        </w:rPr>
        <w:t xml:space="preserve">, т.е. </w:t>
      </w:r>
      <w:r w:rsidR="000164C4" w:rsidRPr="000164C4">
        <w:rPr>
          <w:sz w:val="28"/>
          <w:szCs w:val="28"/>
        </w:rPr>
        <w:t xml:space="preserve">144 </w:t>
      </w:r>
      <w:proofErr w:type="spellStart"/>
      <w:r>
        <w:rPr>
          <w:sz w:val="28"/>
          <w:szCs w:val="28"/>
        </w:rPr>
        <w:t xml:space="preserve">академическ</w:t>
      </w:r>
      <w:proofErr w:type="spellEnd"/>
      <w:r w:rsidR="006B1409" w:rsidRPr="006B1409">
        <w:rPr>
          <w:sz w:val="28"/>
          <w:szCs w:val="28"/>
        </w:rPr>
        <w:t xml:space="preserve"/>
      </w:r>
      <w:r>
        <w:rPr>
          <w:sz w:val="28"/>
          <w:szCs w:val="28"/>
        </w:rPr>
        <w:t>и</w:t>
      </w:r>
      <w:r w:rsidRPr="006B1409">
        <w:rPr>
          <w:sz w:val="28"/>
          <w:szCs w:val="28"/>
        </w:rPr>
        <w:t xml:space="preserve">х</w:t>
      </w:r>
      <w:r w:rsidR="006B1409" w:rsidRPr="006B1409">
        <w:rPr>
          <w:sz w:val="28"/>
          <w:szCs w:val="28"/>
        </w:rPr>
        <w:t xml:space="preserve"/>
      </w:r>
      <w:r>
        <w:rPr>
          <w:sz w:val="28"/>
          <w:szCs w:val="28"/>
        </w:rPr>
        <w:t xml:space="preserve"> час</w:t>
      </w:r>
      <w:r w:rsidR="006B1409" w:rsidRPr="00926A4F">
        <w:rPr>
          <w:sz w:val="28"/>
          <w:szCs w:val="28"/>
        </w:rPr>
        <w:t xml:space="preserve"/>
      </w:r>
      <w:r w:rsidR="006B1409">
        <w:rPr>
          <w:sz w:val="28"/>
          <w:szCs w:val="28"/>
          <w:lang w:val="en-US"/>
        </w:rPr>
        <w:t xml:space="preserve">a</w:t>
      </w:r>
      <w:r w:rsidR="006B1409" w:rsidRPr="00926A4F">
        <w:rPr>
          <w:sz w:val="28"/>
          <w:szCs w:val="28"/>
        </w:rPr>
        <w:t xml:space="preserve"/>
      </w:r>
      <w:r>
        <w:rPr>
          <w:sz w:val="28"/>
          <w:szCs w:val="28"/>
        </w:rPr>
        <w:t xml:space="preserve"> (из них </w:t>
      </w:r>
      <w:r w:rsidR="000164C4" w:rsidRPr="000164C4">
        <w:rPr>
          <w:sz w:val="28"/>
          <w:szCs w:val="28"/>
        </w:rPr>
        <w:t xml:space="preserve">72</w:t>
      </w:r>
      <w:r>
        <w:rPr>
          <w:sz w:val="28"/>
          <w:szCs w:val="28"/>
        </w:rPr>
        <w:t xml:space="preserve"> час</w:t>
      </w:r>
      <w:r w:rsidR="006B1409" w:rsidRPr="00926A4F">
        <w:rPr>
          <w:sz w:val="28"/>
          <w:szCs w:val="28"/>
        </w:rPr>
        <w:t xml:space="preserve"/>
      </w:r>
      <w:r w:rsidR="006B1409">
        <w:rPr>
          <w:sz w:val="28"/>
          <w:szCs w:val="28"/>
          <w:lang w:val="en-US"/>
        </w:rPr>
        <w:t xml:space="preserve">a</w:t>
      </w:r>
      <w:r w:rsidR="006B1409" w:rsidRPr="00926A4F">
        <w:rPr>
          <w:sz w:val="28"/>
          <w:szCs w:val="28"/>
        </w:rPr>
        <w:t xml:space="preserve"/>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 xml:space="preserve">Форма промежуточной аттестации:</w:t>
      </w:r>
      <w:r w:rsidR="00DF4859" w:rsidRPr="00DF4859">
        <w:rPr>
          <w:sz w:val="28"/>
          <w:szCs w:val="28"/>
        </w:rPr>
        <w:t xml:space="preserve"> </w:t>
      </w:r>
      <w:r w:rsidR="000164C4" w:rsidRPr="000164C4">
        <w:rPr>
          <w:sz w:val="28"/>
          <w:szCs w:val="28"/>
        </w:rPr>
        <w:t xml:space="preserve">экзамен</w:t>
      </w:r>
      <w:r>
        <w:rPr>
          <w:sz w:val="28"/>
          <w:szCs w:val="28"/>
        </w:rPr>
        <w:t xml:space="preserve">.</w:t>
      </w:r>
      <w:r w:rsidR="000164C4" w:rsidRPr="000164C4">
        <w:rPr>
          <w:sz w:val="28"/>
          <w:szCs w:val="28"/>
        </w:rPr>
        <w:t xml:space="preserve"/>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 xml:space="preserve">Структура и содержание дисциплины «</w:t>
      </w:r>
      <w:r w:rsidR="000164C4" w:rsidRPr="000164C4">
        <w:rPr>
          <w:color w:val="000000" w:themeColor="text1"/>
          <w:sz w:val="28"/>
          <w:szCs w:val="28"/>
        </w:rPr>
        <w:t xml:space="preserve">Линейная алгебра и функция нескольких переменных</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xml:space="preserve"/>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6"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6"/>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7.1.Основная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Дуарте Нэнси. </w:t>
      </w:r>
      <w:proofErr w:type="spellStart"/>
      <w:r>
        <w:rPr>
          <w:rFonts w:ascii="Times" w:eastAsia="Times" w:hAnsi="Times"/>
          <w:color w:val="000000" w:themeColor="text1"/>
          <w:kern w:val="36"/>
          <w:sz w:val="28"/>
          <w:szCs w:val="28"/>
        </w:rPr>
        <w:t>Slide:ology</w:t>
      </w:r>
      <w:proofErr w:type="spellEnd"/>
      <w:r>
        <w:rPr>
          <w:rFonts w:ascii="Times" w:eastAsia="Times" w:hAnsi="Times"/>
          <w:color w:val="000000" w:themeColor="text1"/>
          <w:kern w:val="36"/>
          <w:sz w:val="28"/>
          <w:szCs w:val="28"/>
        </w:rPr>
        <w:t>.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spellStart"/>
      <w:r>
        <w:rPr>
          <w:rFonts w:ascii="Times" w:eastAsia="Times" w:hAnsi="Times"/>
          <w:color w:val="000000" w:themeColor="text1"/>
          <w:kern w:val="36"/>
          <w:sz w:val="28"/>
          <w:szCs w:val="28"/>
        </w:rPr>
        <w:t>Каптерев</w:t>
      </w:r>
      <w:proofErr w:type="spellEnd"/>
      <w:r>
        <w:rPr>
          <w:rFonts w:ascii="Times" w:eastAsia="Times" w:hAnsi="Times"/>
          <w:color w:val="000000" w:themeColor="text1"/>
          <w:kern w:val="36"/>
          <w:sz w:val="28"/>
          <w:szCs w:val="28"/>
        </w:rPr>
        <w:t xml:space="preserve">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 xml:space="preserve">Русский язык и культура речи: учеб. для вузов / Под ред. </w:t>
      </w:r>
      <w:proofErr w:type="spellStart"/>
      <w:r>
        <w:rPr>
          <w:sz w:val="28"/>
          <w:szCs w:val="28"/>
        </w:rPr>
        <w:t>В.Д.Черняк</w:t>
      </w:r>
      <w:proofErr w:type="spellEnd"/>
      <w:r>
        <w:rPr>
          <w:sz w:val="28"/>
          <w:szCs w:val="28"/>
        </w:rPr>
        <w:t xml:space="preserve">. – М.: </w:t>
      </w:r>
      <w:proofErr w:type="spellStart"/>
      <w:r>
        <w:rPr>
          <w:sz w:val="28"/>
          <w:szCs w:val="28"/>
        </w:rPr>
        <w:t>Высш</w:t>
      </w:r>
      <w:proofErr w:type="spellEnd"/>
      <w:r>
        <w:rPr>
          <w:sz w:val="28"/>
          <w:szCs w:val="28"/>
        </w:rPr>
        <w:t xml:space="preserve">. </w:t>
      </w:r>
      <w:proofErr w:type="spellStart"/>
      <w:r>
        <w:rPr>
          <w:sz w:val="28"/>
          <w:szCs w:val="28"/>
        </w:rPr>
        <w:t>шк</w:t>
      </w:r>
      <w:proofErr w:type="spellEnd"/>
      <w:r>
        <w:rPr>
          <w:sz w:val="28"/>
          <w:szCs w:val="28"/>
        </w:rPr>
        <w:t>.; С.-Пб.: Изд-во РГПУ им. </w:t>
      </w:r>
      <w:proofErr w:type="spellStart"/>
      <w:r>
        <w:rPr>
          <w:sz w:val="28"/>
          <w:szCs w:val="28"/>
        </w:rPr>
        <w:t>А.И.Герцена</w:t>
      </w:r>
      <w:proofErr w:type="spellEnd"/>
      <w:r>
        <w:rPr>
          <w:sz w:val="28"/>
          <w:szCs w:val="28"/>
        </w:rPr>
        <w:t>, 2011.</w:t>
      </w:r>
    </w:p>
    <w:p w14:paraId="3673C9CD" w14:textId="77777777" w:rsidR="00130610" w:rsidRDefault="00130610" w:rsidP="00592AE0">
      <w:pPr>
        <w:pStyle w:val="af1"/>
        <w:numPr>
          <w:ilvl w:val="0"/>
          <w:numId w:val="14"/>
        </w:numPr>
        <w:spacing w:after="0"/>
        <w:jc w:val="both"/>
        <w:rPr>
          <w:sz w:val="28"/>
          <w:szCs w:val="28"/>
        </w:rPr>
      </w:pPr>
      <w:proofErr w:type="spellStart"/>
      <w:r>
        <w:rPr>
          <w:sz w:val="28"/>
          <w:szCs w:val="28"/>
        </w:rPr>
        <w:t>Суховершина</w:t>
      </w:r>
      <w:proofErr w:type="spellEnd"/>
      <w:r>
        <w:rPr>
          <w:sz w:val="28"/>
          <w:szCs w:val="28"/>
        </w:rPr>
        <w:t xml:space="preserve">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802E32"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802E32"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proofErr w:type="spell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xml:space="preserve">  - </w:t>
      </w:r>
      <w:proofErr w:type="spell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Справочно-информационный портал </w:t>
      </w:r>
      <w:proofErr w:type="spellStart"/>
      <w:r>
        <w:rPr>
          <w:rStyle w:val="af3"/>
          <w:rFonts w:eastAsiaTheme="majorEastAsia"/>
          <w:color w:val="000000" w:themeColor="text1"/>
          <w:sz w:val="28"/>
          <w:szCs w:val="28"/>
        </w:rPr>
        <w:t>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w:t>
      </w:r>
      <w:proofErr w:type="spellEnd"/>
      <w:r>
        <w:rPr>
          <w:rStyle w:val="af3"/>
          <w:rFonts w:eastAsiaTheme="majorEastAsia"/>
          <w:color w:val="000000" w:themeColor="text1"/>
          <w:sz w:val="28"/>
          <w:szCs w:val="28"/>
        </w:rPr>
        <w:t xml:space="preserve"> – Режим доступа:</w:t>
      </w:r>
    </w:p>
    <w:p w14:paraId="72B210B8" w14:textId="77777777" w:rsidR="00130610" w:rsidRDefault="00802E3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802E3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265B7C3F" w:rsidR="00130610" w:rsidRDefault="00130610" w:rsidP="00130610">
      <w:pPr>
        <w:pStyle w:val="ad"/>
        <w:ind w:left="0" w:firstLine="709"/>
        <w:jc w:val="both"/>
        <w:rPr>
          <w:sz w:val="28"/>
          <w:szCs w:val="28"/>
        </w:rPr>
      </w:pPr>
      <w:r>
        <w:rPr>
          <w:sz w:val="28"/>
          <w:szCs w:val="28"/>
        </w:rPr>
        <w:t xml:space="preserve">При изучении дисциплины «</w:t>
      </w:r>
      <w:r w:rsidR="005C1D90" w:rsidRPr="005C1D90">
        <w:rPr>
          <w:sz w:val="28"/>
          <w:szCs w:val="28"/>
        </w:rPr>
        <w:t xml:space="preserve">09.03.03 Прикладная информатика</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20EBB8B4"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 xml:space="preserve">подготовки</w:t>
      </w:r>
      <w:r>
        <w:rPr>
          <w:color w:val="000000" w:themeColor="text1"/>
          <w:sz w:val="28"/>
          <w:szCs w:val="28"/>
        </w:rPr>
        <w:t xml:space="preserve"> </w:t>
      </w:r>
      <w:r w:rsidR="005C1D90" w:rsidRPr="00F56105">
        <w:rPr>
          <w:b/>
          <w:bCs/>
          <w:sz w:val="28"/>
          <w:szCs w:val="28"/>
        </w:rPr>
        <w:t xml:space="preserve">09.03.03 Прикладная информатика</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 xml:space="preserve">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«Линейная алгебра и функция нескольких переменных»</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09.03.03 Прикладная информатика</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 xml:space="preserve">"</w:t>
      </w:r>
      <w:r w:rsidR="002B3D11" w:rsidRPr="002B3D11">
        <w:rPr>
          <w:b/>
          <w:bCs/>
          <w:shd w:val="clear" w:color="auto" w:fill="FFFFFF" w:themeFill="background1"/>
        </w:rPr>
        <w:t xml:space="preserve">Корпоративные информационные технологии</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0B51FF5A" w:rsidR="00130610" w:rsidRPr="005C1D90" w:rsidRDefault="005A499B" w:rsidP="00130610">
      <w:pPr>
        <w:jc w:val="both"/>
        <w:rPr>
          <w:lang w:val="en-US"/>
        </w:rPr>
      </w:pPr>
      <w:r w:rsidRPr="0012444B">
        <w:rPr>
          <w:i/>
          <w:color w:val="000000" w:themeColor="text1"/>
          <w:sz w:val="28"/>
          <w:szCs w:val="28"/>
          <w:lang w:val="en-US"/>
        </w:rPr>
        <w:t xml:space="preserve"/>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513D9" w:rsidRPr="005C1D90"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7" w:name="_Hlk101392354"/>
            <w:r>
              <w:rPr>
                <w:rStyle w:val="af3"/>
                <w:b/>
                <w:color w:val="000000" w:themeColor="text1"/>
              </w:rPr>
              <w:lastRenderedPageBreak/>
              <w:t xml:space="preserve">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72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t xml:space="preserve">72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C1D90" w:rsidRDefault="005513D9" w:rsidP="005513D9">
            <w:pPr>
              <w:pStyle w:val="Style1"/>
              <w:widowControl/>
              <w:jc w:val="center"/>
              <w:rPr>
                <w:rStyle w:val="af3"/>
                <w:sz w:val="28"/>
                <w:szCs w:val="28"/>
                <w:lang w:val="en-US"/>
              </w:rPr>
            </w:pPr>
            <w:r w:rsidRPr="005A499B">
              <w:rPr>
                <w:rStyle w:val="af3"/>
                <w:sz w:val="28"/>
                <w:szCs w:val="28"/>
                <w:lang w:val="en-US"/>
              </w:rPr>
              <w:t xml:space="preserve"/>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C1D90">
              <w:rPr>
                <w:rStyle w:val="af3"/>
                <w:sz w:val="28"/>
                <w:szCs w:val="28"/>
                <w:lang w:val="en-US"/>
              </w:rPr>
              <w:lastRenderedPageBreak/>
              <w:t xml:space="preserve"/>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xml:space="preserve"/>
            </w:r>
          </w:p>
        </w:tc>
      </w:tr>
      <w:bookmarkEnd w:id="7"/>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 xml:space="preserve">«МОСКОВСКИЙ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09.03.03 Прикладная информатика</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23E45BBF"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DE5B72">
        <w:rPr>
          <w:rFonts w:eastAsia="Times New Roman"/>
          <w:b/>
          <w:bCs/>
          <w:color w:val="auto"/>
          <w:sz w:val="28"/>
          <w:szCs w:val="28"/>
        </w:rPr>
        <w:t xml:space="preserve">«</w:t>
      </w:r>
      <w:r w:rsidR="005C1D90" w:rsidRPr="00F56105">
        <w:rPr>
          <w:rFonts w:eastAsia="Times New Roman"/>
          <w:b/>
          <w:bCs/>
          <w:color w:val="auto"/>
          <w:sz w:val="28"/>
          <w:szCs w:val="28"/>
          <w:shd w:val="clear" w:color="auto" w:fill="FFFFFF" w:themeFill="background1"/>
        </w:rPr>
        <w:t xml:space="preserve">Корпоративные информационные технологии</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 xml:space="preserve">«</w:t>
      </w:r>
      <w:r w:rsidR="005C1D90" w:rsidRPr="00AC1AEB">
        <w:rPr>
          <w:b/>
          <w:bCs/>
          <w:sz w:val="36"/>
          <w:szCs w:val="36"/>
        </w:rPr>
        <w:t xml:space="preserve">Линейная алгебра и функция нескольких переменных</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 xml:space="preserve">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xml:space="preserve">2022</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 xml:space="preserve">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ЛИНЕЙНАЯ АЛГЕБРА И ФУНКЦИЯ НЕСКОЛЬКИХ ПЕРЕМЕННЫХ</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 xml:space="preserve">ФГОС ВО (3++)</w:t>
            </w:r>
            <w:r>
              <w:rPr>
                <w:color w:val="000000" w:themeColor="text1"/>
              </w:rPr>
              <w:t xml:space="preserve">  </w:t>
            </w:r>
            <w:r w:rsidR="005C1D90" w:rsidRPr="00F56105">
              <w:rPr>
                <w:rFonts w:eastAsia="Times New Roman"/>
                <w:b/>
                <w:bCs/>
                <w:color w:val="auto"/>
                <w:sz w:val="28"/>
                <w:szCs w:val="28"/>
              </w:rPr>
              <w:t xml:space="preserve">09.03.03 Прикладная информатика</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 xml:space="preserve">«</w:t>
      </w:r>
      <w:r w:rsidR="005C1D90" w:rsidRPr="005C1D90">
        <w:rPr>
          <w:b/>
        </w:rPr>
        <w:t xml:space="preserve">Линейная алгебра и функция нескольких переменных</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color w:val="000000" w:themeColor="text1"/>
          <w:sz w:val="28"/>
          <w:szCs w:val="28"/>
        </w:rPr>
        <w:lastRenderedPageBreak/>
        <w:t>Копирайтнг</w:t>
      </w:r>
      <w:proofErr w:type="spellEnd"/>
      <w:r>
        <w:rPr>
          <w:color w:val="000000" w:themeColor="text1"/>
          <w:sz w:val="28"/>
          <w:szCs w:val="28"/>
        </w:rPr>
        <w:t>,  веб-</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8FD11" w14:textId="77777777" w:rsidR="00802E32" w:rsidRDefault="00802E32">
      <w:r>
        <w:separator/>
      </w:r>
    </w:p>
  </w:endnote>
  <w:endnote w:type="continuationSeparator" w:id="0">
    <w:p w14:paraId="7E5B4993" w14:textId="77777777" w:rsidR="00802E32" w:rsidRDefault="0080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12526" w14:textId="77777777" w:rsidR="00802E32" w:rsidRDefault="00802E32">
      <w:r>
        <w:separator/>
      </w:r>
    </w:p>
  </w:footnote>
  <w:footnote w:type="continuationSeparator" w:id="0">
    <w:p w14:paraId="3C4D2E90" w14:textId="77777777" w:rsidR="00802E32" w:rsidRDefault="00802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88C20D8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FE0CA73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62CD1C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33F0F44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E9EDB9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EAA565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F685364">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8AC7F3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6EECF9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81A325E">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FE0CA73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62CD1C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33F0F44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E9EDB9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EAA565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F685364">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8AC7F3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6EECF9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81A325E">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88C20D8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88C20D8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88C20D8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4AB2"/>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62A4F"/>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92E86"/>
    <w:rsid w:val="005A499B"/>
    <w:rsid w:val="005A6CDE"/>
    <w:rsid w:val="005C1D90"/>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2E32"/>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3668"/>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27</Pages>
  <Words>5608</Words>
  <Characters>31966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247</cp:revision>
  <dcterms:created xsi:type="dcterms:W3CDTF">2021-11-28T12:06:00Z</dcterms:created>
  <dcterms:modified xsi:type="dcterms:W3CDTF">2022-10-24T13:04:00Z</dcterms:modified>
</cp:coreProperties>
</file>