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Banco de preguntas y casos</w:t>
      </w:r>
    </w:p>
    <w:p>
      <w:r>
        <w:t>Urgencias neurológicas para kinesiólogos · Sábado 14 de noviembre de 2026 · 08:30–15:20</w:t>
        <w:br/>
        <w:t>Todas las preguntas son originales y los casos ficticios (R8). Las respuestas se basan en conocimiento clínico estándar, pendiente de verificación con guías vigentes (R1).</w:t>
      </w:r>
    </w:p>
    <w:p>
      <w:pPr>
        <w:pStyle w:val="Heading1"/>
      </w:pPr>
      <w:r>
        <w:rPr>
          <w:rFonts w:ascii="Calibri" w:hAnsi="Calibri"/>
          <w:color w:val="1F3A5F"/>
        </w:rPr>
        <w:t>Parte A · Preguntas de alternativas (28)</w:t>
      </w:r>
    </w:p>
    <w:p>
      <w:pPr>
        <w:pStyle w:val="Heading2"/>
      </w:pPr>
      <w:r>
        <w:rPr>
          <w:rFonts w:ascii="Calibri" w:hAnsi="Calibri"/>
          <w:color w:val="1F3A5F"/>
        </w:rPr>
        <w:t>Bloque 1</w:t>
      </w:r>
    </w:p>
    <w:p>
      <w:r>
        <w:t>1. Paciente que abre los ojos al dolor, emite sonidos ininteligibles y presenta flexión anormal. ¿Cuál es su Glasgow?</w:t>
      </w:r>
    </w:p>
    <w:p>
      <w:pPr>
        <w:ind w:left="567"/>
      </w:pPr>
      <w:r>
        <w:t>A) 6</w:t>
      </w:r>
    </w:p>
    <w:p>
      <w:pPr>
        <w:ind w:left="567"/>
      </w:pPr>
      <w:r>
        <w:t>B) 7</w:t>
      </w:r>
    </w:p>
    <w:p>
      <w:pPr>
        <w:ind w:left="567"/>
      </w:pPr>
      <w:r>
        <w:t>C) 8</w:t>
      </w:r>
    </w:p>
    <w:p>
      <w:pPr>
        <w:ind w:left="567"/>
      </w:pPr>
      <w:r>
        <w:t>D) 9</w:t>
      </w:r>
    </w:p>
    <w:p>
      <w:r>
        <w:t>2. ¿Qué hallazgo sugiere herniación uncal?</w:t>
      </w:r>
    </w:p>
    <w:p>
      <w:pPr>
        <w:ind w:left="567"/>
      </w:pPr>
      <w:r>
        <w:t>A) Pupilas puntiformes simétricas</w:t>
      </w:r>
    </w:p>
    <w:p>
      <w:pPr>
        <w:ind w:left="567"/>
      </w:pPr>
      <w:r>
        <w:t>B) Midriasis unilateral no reactiva con deterioro de conciencia</w:t>
      </w:r>
    </w:p>
    <w:p>
      <w:pPr>
        <w:ind w:left="567"/>
      </w:pPr>
      <w:r>
        <w:t>C) Pupilas simétricas y reactivas</w:t>
      </w:r>
    </w:p>
    <w:p>
      <w:pPr>
        <w:ind w:left="567"/>
      </w:pPr>
      <w:r>
        <w:t>D) Nistagmo horizontal fatigable</w:t>
      </w:r>
    </w:p>
    <w:p>
      <w:r>
        <w:t>3. Coma de causa metabólica suele presentar:</w:t>
      </w:r>
    </w:p>
    <w:p>
      <w:pPr>
        <w:ind w:left="567"/>
      </w:pPr>
      <w:r>
        <w:t>A) Asimetría pupilar marcada</w:t>
      </w:r>
    </w:p>
    <w:p>
      <w:pPr>
        <w:ind w:left="567"/>
      </w:pPr>
      <w:r>
        <w:t>B) Hemiparesia fija</w:t>
      </w:r>
    </w:p>
    <w:p>
      <w:pPr>
        <w:ind w:left="567"/>
      </w:pPr>
      <w:r>
        <w:t>C) Pupilas simétricas y reactivas pese a depresión profunda de conciencia</w:t>
      </w:r>
    </w:p>
    <w:p>
      <w:pPr>
        <w:ind w:left="567"/>
      </w:pPr>
      <w:r>
        <w:t>D) Rigidez de decorticación unilateral</w:t>
      </w:r>
    </w:p>
    <w:p>
      <w:r>
        <w:t>4. Una cefalea de inicio súbito, la peor de la vida, debe hacer sospechar primero:</w:t>
      </w:r>
    </w:p>
    <w:p>
      <w:pPr>
        <w:ind w:left="567"/>
      </w:pPr>
      <w:r>
        <w:t>A) Cefalea tensional</w:t>
      </w:r>
    </w:p>
    <w:p>
      <w:pPr>
        <w:ind w:left="567"/>
      </w:pPr>
      <w:r>
        <w:t>B) Migraña</w:t>
      </w:r>
    </w:p>
    <w:p>
      <w:pPr>
        <w:ind w:left="567"/>
      </w:pPr>
      <w:r>
        <w:t>C) Hemorragia subaracnoidea</w:t>
      </w:r>
    </w:p>
    <w:p>
      <w:pPr>
        <w:ind w:left="567"/>
      </w:pPr>
      <w:r>
        <w:t>D) Sinusitis</w:t>
      </w:r>
    </w:p>
    <w:p>
      <w:r>
        <w:t>5. ¿Qué hallazgo apoya un vértigo de origen central?</w:t>
      </w:r>
    </w:p>
    <w:p>
      <w:pPr>
        <w:ind w:left="567"/>
      </w:pPr>
      <w:r>
        <w:t>A) Nistagmo unidireccional que se fatiga</w:t>
      </w:r>
    </w:p>
    <w:p>
      <w:pPr>
        <w:ind w:left="567"/>
      </w:pPr>
      <w:r>
        <w:t>B) Nistagmo que cambia de dirección con la mirada</w:t>
      </w:r>
    </w:p>
    <w:p>
      <w:pPr>
        <w:ind w:left="567"/>
      </w:pPr>
      <w:r>
        <w:t>C) Vértigo con náuseas</w:t>
      </w:r>
    </w:p>
    <w:p>
      <w:pPr>
        <w:ind w:left="567"/>
      </w:pPr>
      <w:r>
        <w:t>D) Mejoría al cerrar los ojos</w:t>
      </w:r>
    </w:p>
    <w:p>
      <w:r>
        <w:t>6. La tríada de Cushing está compuesta por:</w:t>
      </w:r>
    </w:p>
    <w:p>
      <w:pPr>
        <w:ind w:left="567"/>
      </w:pPr>
      <w:r>
        <w:t>A) Hipotensión, taquicardia, taquipnea</w:t>
      </w:r>
    </w:p>
    <w:p>
      <w:pPr>
        <w:ind w:left="567"/>
      </w:pPr>
      <w:r>
        <w:t>B) Hipertensión, bradicardia, respiración irregular</w:t>
      </w:r>
    </w:p>
    <w:p>
      <w:pPr>
        <w:ind w:left="567"/>
      </w:pPr>
      <w:r>
        <w:t>C) Fiebre, rigidez de nuca, cefalea</w:t>
      </w:r>
    </w:p>
    <w:p>
      <w:pPr>
        <w:ind w:left="567"/>
      </w:pPr>
      <w:r>
        <w:t>D) Hipoxemia, hipercapnia, acidosis</w:t>
      </w:r>
    </w:p>
    <w:p>
      <w:r>
        <w:t>7. Paciente con Glasgow 8, secreciones y mal manejo de vía aérea. La primera acción kinésica es:</w:t>
      </w:r>
    </w:p>
    <w:p>
      <w:pPr>
        <w:ind w:left="567"/>
      </w:pPr>
      <w:r>
        <w:t>A) Esperar la TAC</w:t>
      </w:r>
    </w:p>
    <w:p>
      <w:pPr>
        <w:ind w:left="567"/>
      </w:pPr>
      <w:r>
        <w:t>B) Proteger la vía aérea y alertar al equipo con SBAR</w:t>
      </w:r>
    </w:p>
    <w:p>
      <w:pPr>
        <w:ind w:left="567"/>
      </w:pPr>
      <w:r>
        <w:t>C) Iniciar movilización</w:t>
      </w:r>
    </w:p>
    <w:p>
      <w:pPr>
        <w:ind w:left="567"/>
      </w:pPr>
      <w:r>
        <w:t>D) Realizar maniobra de Epley</w:t>
      </w:r>
    </w:p>
    <w:p>
      <w:pPr>
        <w:pStyle w:val="Heading2"/>
      </w:pPr>
      <w:r>
        <w:rPr>
          <w:rFonts w:ascii="Calibri" w:hAnsi="Calibri"/>
          <w:color w:val="1F3A5F"/>
        </w:rPr>
        <w:t>Bloque 2</w:t>
      </w:r>
    </w:p>
    <w:p>
      <w:r>
        <w:t>8. En BE-FAST, la 'E' corresponde a:</w:t>
      </w:r>
    </w:p>
    <w:p>
      <w:pPr>
        <w:ind w:left="567"/>
      </w:pPr>
      <w:r>
        <w:t>A) Edema</w:t>
      </w:r>
    </w:p>
    <w:p>
      <w:pPr>
        <w:ind w:left="567"/>
      </w:pPr>
      <w:r>
        <w:t>B) Alteración visual (eyes)</w:t>
      </w:r>
    </w:p>
    <w:p>
      <w:pPr>
        <w:ind w:left="567"/>
      </w:pPr>
      <w:r>
        <w:t>C) Emesis</w:t>
      </w:r>
    </w:p>
    <w:p>
      <w:pPr>
        <w:ind w:left="567"/>
      </w:pPr>
      <w:r>
        <w:t>D) Equilibrio</w:t>
      </w:r>
    </w:p>
    <w:p>
      <w:r>
        <w:t>9. El dato más importante a registrar en un ACV agudo es:</w:t>
      </w:r>
    </w:p>
    <w:p>
      <w:pPr>
        <w:ind w:left="567"/>
      </w:pPr>
      <w:r>
        <w:t>A) Hora de llegada</w:t>
      </w:r>
    </w:p>
    <w:p>
      <w:pPr>
        <w:ind w:left="567"/>
      </w:pPr>
      <w:r>
        <w:t>B) Hora de última vez visto normal</w:t>
      </w:r>
    </w:p>
    <w:p>
      <w:pPr>
        <w:ind w:left="567"/>
      </w:pPr>
      <w:r>
        <w:t>C) Hora de la TAC</w:t>
      </w:r>
    </w:p>
    <w:p>
      <w:pPr>
        <w:ind w:left="567"/>
      </w:pPr>
      <w:r>
        <w:t>D) Hora de la comida</w:t>
      </w:r>
    </w:p>
    <w:p>
      <w:r>
        <w:t>10. Antes de atribuir un déficit neurológico a un ACV debe medirse:</w:t>
      </w:r>
    </w:p>
    <w:p>
      <w:pPr>
        <w:ind w:left="567"/>
      </w:pPr>
      <w:r>
        <w:t>A) Temperatura axilar</w:t>
      </w:r>
    </w:p>
    <w:p>
      <w:pPr>
        <w:ind w:left="567"/>
      </w:pPr>
      <w:r>
        <w:t>B) Glicemia capilar</w:t>
      </w:r>
    </w:p>
    <w:p>
      <w:pPr>
        <w:ind w:left="567"/>
      </w:pPr>
      <w:r>
        <w:t>C) Hematocrito</w:t>
      </w:r>
    </w:p>
    <w:p>
      <w:pPr>
        <w:ind w:left="567"/>
      </w:pPr>
      <w:r>
        <w:t>D) Peso</w:t>
      </w:r>
    </w:p>
    <w:p>
      <w:r>
        <w:t>11. Respecto al oxígeno en el ACV agudo:</w:t>
      </w:r>
    </w:p>
    <w:p>
      <w:pPr>
        <w:ind w:left="567"/>
      </w:pPr>
      <w:r>
        <w:t>A) Se administra a todos los pacientes</w:t>
      </w:r>
    </w:p>
    <w:p>
      <w:pPr>
        <w:ind w:left="567"/>
      </w:pPr>
      <w:r>
        <w:t>B) Se administra si hay hipoxemia (SpO2 &lt;94%)</w:t>
      </w:r>
    </w:p>
    <w:p>
      <w:pPr>
        <w:ind w:left="567"/>
      </w:pPr>
      <w:r>
        <w:t>C) Está contraindicado</w:t>
      </w:r>
    </w:p>
    <w:p>
      <w:pPr>
        <w:ind w:left="567"/>
      </w:pPr>
      <w:r>
        <w:t>D) Solo con ventilación mecánica</w:t>
      </w:r>
    </w:p>
    <w:p>
      <w:r>
        <w:t>12. Un paciente con ACV y compromiso de conciencia. ¿Qué conducta sobre la vía oral es correcta?</w:t>
      </w:r>
    </w:p>
    <w:p>
      <w:pPr>
        <w:ind w:left="567"/>
      </w:pPr>
      <w:r>
        <w:t>A) Dar líquidos espesados</w:t>
      </w:r>
    </w:p>
    <w:p>
      <w:pPr>
        <w:ind w:left="567"/>
      </w:pPr>
      <w:r>
        <w:t>B) Nada por boca hasta tamizaje de deglución</w:t>
      </w:r>
    </w:p>
    <w:p>
      <w:pPr>
        <w:ind w:left="567"/>
      </w:pPr>
      <w:r>
        <w:t>C) Dar su medicación habitual</w:t>
      </w:r>
    </w:p>
    <w:p>
      <w:pPr>
        <w:ind w:left="567"/>
      </w:pPr>
      <w:r>
        <w:t>D) Dar agua a sorbos</w:t>
      </w:r>
    </w:p>
    <w:p>
      <w:r>
        <w:t>13. El objetivo principal de la TAC sin contraste en el ACV agudo es:</w:t>
      </w:r>
    </w:p>
    <w:p>
      <w:pPr>
        <w:ind w:left="567"/>
      </w:pPr>
      <w:r>
        <w:t>A) Medir el infarto exacto</w:t>
      </w:r>
    </w:p>
    <w:p>
      <w:pPr>
        <w:ind w:left="567"/>
      </w:pPr>
      <w:r>
        <w:t>B) Descartar hemorragia antes de decidir reperfusión</w:t>
      </w:r>
    </w:p>
    <w:p>
      <w:pPr>
        <w:ind w:left="567"/>
      </w:pPr>
      <w:r>
        <w:t>C) Evaluar el corazón</w:t>
      </w:r>
    </w:p>
    <w:p>
      <w:pPr>
        <w:ind w:left="567"/>
      </w:pPr>
      <w:r>
        <w:t>D) Medir la presión intracraneal</w:t>
      </w:r>
    </w:p>
    <w:p>
      <w:r>
        <w:t>14. ¿Puede diferenciarse un ACV isquémico de uno hemorrágico solo por la clínica?</w:t>
      </w:r>
    </w:p>
    <w:p>
      <w:pPr>
        <w:ind w:left="567"/>
      </w:pPr>
      <w:r>
        <w:t>A) Sí, siempre</w:t>
      </w:r>
    </w:p>
    <w:p>
      <w:pPr>
        <w:ind w:left="567"/>
      </w:pPr>
      <w:r>
        <w:t>B) No, se requiere neuroimagen</w:t>
      </w:r>
    </w:p>
    <w:p>
      <w:pPr>
        <w:ind w:left="567"/>
      </w:pPr>
      <w:r>
        <w:t>C) Solo si hay cefalea</w:t>
      </w:r>
    </w:p>
    <w:p>
      <w:pPr>
        <w:ind w:left="567"/>
      </w:pPr>
      <w:r>
        <w:t>D) Solo si hay vómitos</w:t>
      </w:r>
    </w:p>
    <w:p>
      <w:pPr>
        <w:pStyle w:val="Heading2"/>
      </w:pPr>
      <w:r>
        <w:rPr>
          <w:rFonts w:ascii="Calibri" w:hAnsi="Calibri"/>
          <w:color w:val="1F3A5F"/>
        </w:rPr>
        <w:t>Bloque 3</w:t>
      </w:r>
    </w:p>
    <w:p>
      <w:r>
        <w:t>15. Definición operativa de estatus epiléptico convulsivo:</w:t>
      </w:r>
    </w:p>
    <w:p>
      <w:pPr>
        <w:ind w:left="567"/>
      </w:pPr>
      <w:r>
        <w:t>A) Crisis de 1 minuto</w:t>
      </w:r>
    </w:p>
    <w:p>
      <w:pPr>
        <w:ind w:left="567"/>
      </w:pPr>
      <w:r>
        <w:t>B) Crisis de más de 5 minutos o crisis repetidas sin recuperación</w:t>
      </w:r>
    </w:p>
    <w:p>
      <w:pPr>
        <w:ind w:left="567"/>
      </w:pPr>
      <w:r>
        <w:t>C) Dos crisis en 24 horas</w:t>
      </w:r>
    </w:p>
    <w:p>
      <w:pPr>
        <w:ind w:left="567"/>
      </w:pPr>
      <w:r>
        <w:t>D) Cualquier crisis con cianosis</w:t>
      </w:r>
    </w:p>
    <w:p>
      <w:r>
        <w:t>16. Fármaco de primera línea en el estatus epiléptico:</w:t>
      </w:r>
    </w:p>
    <w:p>
      <w:pPr>
        <w:ind w:left="567"/>
      </w:pPr>
      <w:r>
        <w:t>A) Fenitoína</w:t>
      </w:r>
    </w:p>
    <w:p>
      <w:pPr>
        <w:ind w:left="567"/>
      </w:pPr>
      <w:r>
        <w:t>B) Benzodiacepina</w:t>
      </w:r>
    </w:p>
    <w:p>
      <w:pPr>
        <w:ind w:left="567"/>
      </w:pPr>
      <w:r>
        <w:t>C) Propofol</w:t>
      </w:r>
    </w:p>
    <w:p>
      <w:pPr>
        <w:ind w:left="567"/>
      </w:pPr>
      <w:r>
        <w:t>D) Levetiracetam</w:t>
      </w:r>
    </w:p>
    <w:p>
      <w:r>
        <w:t>17. Durante una crisis tónico-clónica NO se debe:</w:t>
      </w:r>
    </w:p>
    <w:p>
      <w:pPr>
        <w:ind w:left="567"/>
      </w:pPr>
      <w:r>
        <w:t>A) Proteger la cabeza</w:t>
      </w:r>
    </w:p>
    <w:p>
      <w:pPr>
        <w:ind w:left="567"/>
      </w:pPr>
      <w:r>
        <w:t>B) Cronometrar</w:t>
      </w:r>
    </w:p>
    <w:p>
      <w:pPr>
        <w:ind w:left="567"/>
      </w:pPr>
      <w:r>
        <w:t>C) Introducir objetos en la boca</w:t>
      </w:r>
    </w:p>
    <w:p>
      <w:pPr>
        <w:ind w:left="567"/>
      </w:pPr>
      <w:r>
        <w:t>D) Medir glicemia al terminar</w:t>
      </w:r>
    </w:p>
    <w:p>
      <w:r>
        <w:t>18. Al cesar las contracciones, la posición recomendada es:</w:t>
      </w:r>
    </w:p>
    <w:p>
      <w:pPr>
        <w:ind w:left="567"/>
      </w:pPr>
      <w:r>
        <w:t>A) Decúbito supino plano</w:t>
      </w:r>
    </w:p>
    <w:p>
      <w:pPr>
        <w:ind w:left="567"/>
      </w:pPr>
      <w:r>
        <w:t>B) Posición lateral de seguridad</w:t>
      </w:r>
    </w:p>
    <w:p>
      <w:pPr>
        <w:ind w:left="567"/>
      </w:pPr>
      <w:r>
        <w:t>C) Sentado</w:t>
      </w:r>
    </w:p>
    <w:p>
      <w:pPr>
        <w:ind w:left="567"/>
      </w:pPr>
      <w:r>
        <w:t>D) Trendelenburg</w:t>
      </w:r>
    </w:p>
    <w:p>
      <w:r>
        <w:t>19. Tras administrar benzodiacepinas, el riesgo respiratorio principal es:</w:t>
      </w:r>
    </w:p>
    <w:p>
      <w:pPr>
        <w:ind w:left="567"/>
      </w:pPr>
      <w:r>
        <w:t>A) Broncoespasmo</w:t>
      </w:r>
    </w:p>
    <w:p>
      <w:pPr>
        <w:ind w:left="567"/>
      </w:pPr>
      <w:r>
        <w:t>B) Depresión respiratoria</w:t>
      </w:r>
    </w:p>
    <w:p>
      <w:pPr>
        <w:ind w:left="567"/>
      </w:pPr>
      <w:r>
        <w:t>C) Edema pulmonar</w:t>
      </w:r>
    </w:p>
    <w:p>
      <w:pPr>
        <w:ind w:left="567"/>
      </w:pPr>
      <w:r>
        <w:t>D) Neumotórax</w:t>
      </w:r>
    </w:p>
    <w:p>
      <w:r>
        <w:t>20. Un hallazgo que favorece crisis epiléptica sobre síncope:</w:t>
      </w:r>
    </w:p>
    <w:p>
      <w:pPr>
        <w:ind w:left="567"/>
      </w:pPr>
      <w:r>
        <w:t>A) Palidez previa</w:t>
      </w:r>
    </w:p>
    <w:p>
      <w:pPr>
        <w:ind w:left="567"/>
      </w:pPr>
      <w:r>
        <w:t>B) Mordedura lateral de lengua y confusión postictal prolongada</w:t>
      </w:r>
    </w:p>
    <w:p>
      <w:pPr>
        <w:ind w:left="567"/>
      </w:pPr>
      <w:r>
        <w:t>C) Recuperación inmediata</w:t>
      </w:r>
    </w:p>
    <w:p>
      <w:pPr>
        <w:ind w:left="567"/>
      </w:pPr>
      <w:r>
        <w:t>D) Pródromo de calor</w:t>
      </w:r>
    </w:p>
    <w:p>
      <w:r>
        <w:t>21. Ante una crisis de causa desconocida, además de la vía aérea, debe medirse:</w:t>
      </w:r>
    </w:p>
    <w:p>
      <w:pPr>
        <w:ind w:left="567"/>
      </w:pPr>
      <w:r>
        <w:t>A) Colesterol</w:t>
      </w:r>
    </w:p>
    <w:p>
      <w:pPr>
        <w:ind w:left="567"/>
      </w:pPr>
      <w:r>
        <w:t>B) Glicemia capilar</w:t>
      </w:r>
    </w:p>
    <w:p>
      <w:pPr>
        <w:ind w:left="567"/>
      </w:pPr>
      <w:r>
        <w:t>C) Hemoglobina glicosilada</w:t>
      </w:r>
    </w:p>
    <w:p>
      <w:pPr>
        <w:ind w:left="567"/>
      </w:pPr>
      <w:r>
        <w:t>D) Creatinina</w:t>
      </w:r>
    </w:p>
    <w:p>
      <w:pPr>
        <w:pStyle w:val="Heading2"/>
      </w:pPr>
      <w:r>
        <w:rPr>
          <w:rFonts w:ascii="Calibri" w:hAnsi="Calibri"/>
          <w:color w:val="1F3A5F"/>
        </w:rPr>
        <w:t>Bloque 4</w:t>
      </w:r>
    </w:p>
    <w:p>
      <w:r>
        <w:t>22. La tríada clásica de la meningitis incluye:</w:t>
      </w:r>
    </w:p>
    <w:p>
      <w:pPr>
        <w:ind w:left="567"/>
      </w:pPr>
      <w:r>
        <w:t>A) Fiebre, rigidez de nuca, alteración de conciencia</w:t>
      </w:r>
    </w:p>
    <w:p>
      <w:pPr>
        <w:ind w:left="567"/>
      </w:pPr>
      <w:r>
        <w:t>B) Tos, fiebre, disnea</w:t>
      </w:r>
    </w:p>
    <w:p>
      <w:pPr>
        <w:ind w:left="567"/>
      </w:pPr>
      <w:r>
        <w:t>C) Cefalea, vómitos, diarrea</w:t>
      </w:r>
    </w:p>
    <w:p>
      <w:pPr>
        <w:ind w:left="567"/>
      </w:pPr>
      <w:r>
        <w:t>D) Fiebre, rash, artralgia</w:t>
      </w:r>
    </w:p>
    <w:p>
      <w:r>
        <w:t>23. Ante sospecha de meningitis bacteriana:</w:t>
      </w:r>
    </w:p>
    <w:p>
      <w:pPr>
        <w:ind w:left="567"/>
      </w:pPr>
      <w:r>
        <w:t>A) Esperar el LCR para tratar</w:t>
      </w:r>
    </w:p>
    <w:p>
      <w:pPr>
        <w:ind w:left="567"/>
      </w:pPr>
      <w:r>
        <w:t>B) Iniciar antibiótico empírico precoz sin retrasarlo</w:t>
      </w:r>
    </w:p>
    <w:p>
      <w:pPr>
        <w:ind w:left="567"/>
      </w:pPr>
      <w:r>
        <w:t>C) Dar solo antipiréticos</w:t>
      </w:r>
    </w:p>
    <w:p>
      <w:pPr>
        <w:ind w:left="567"/>
      </w:pPr>
      <w:r>
        <w:t>D) Observar 24 h</w:t>
      </w:r>
    </w:p>
    <w:p>
      <w:r>
        <w:t>24. En sospecha de encefalitis herpética se inicia empíricamente:</w:t>
      </w:r>
    </w:p>
    <w:p>
      <w:pPr>
        <w:ind w:left="567"/>
      </w:pPr>
      <w:r>
        <w:t>A) Ceftriaxona sola</w:t>
      </w:r>
    </w:p>
    <w:p>
      <w:pPr>
        <w:ind w:left="567"/>
      </w:pPr>
      <w:r>
        <w:t>B) Aciclovir</w:t>
      </w:r>
    </w:p>
    <w:p>
      <w:pPr>
        <w:ind w:left="567"/>
      </w:pPr>
      <w:r>
        <w:t>C) Corticoides solos</w:t>
      </w:r>
    </w:p>
    <w:p>
      <w:pPr>
        <w:ind w:left="567"/>
      </w:pPr>
      <w:r>
        <w:t>D) Antiepilépticos solos</w:t>
      </w:r>
    </w:p>
    <w:p>
      <w:r>
        <w:t>25. Medida adecuada ante HTIC:</w:t>
      </w:r>
    </w:p>
    <w:p>
      <w:pPr>
        <w:ind w:left="567"/>
      </w:pPr>
      <w:r>
        <w:t>A) Decúbito plano</w:t>
      </w:r>
    </w:p>
    <w:p>
      <w:pPr>
        <w:ind w:left="567"/>
      </w:pPr>
      <w:r>
        <w:t>B) Cabecera a 30° y cabeza en línea media</w:t>
      </w:r>
    </w:p>
    <w:p>
      <w:pPr>
        <w:ind w:left="567"/>
      </w:pPr>
      <w:r>
        <w:t>C) Cinta de TET apretada</w:t>
      </w:r>
    </w:p>
    <w:p>
      <w:pPr>
        <w:ind w:left="567"/>
      </w:pPr>
      <w:r>
        <w:t>D) Maniobras de Valsalva</w:t>
      </w:r>
    </w:p>
    <w:p>
      <w:r>
        <w:t>26. Meta de PaCO2 habitual en neuroventilación:</w:t>
      </w:r>
    </w:p>
    <w:p>
      <w:pPr>
        <w:ind w:left="567"/>
      </w:pPr>
      <w:r>
        <w:t>A) 20–25 mmHg</w:t>
      </w:r>
    </w:p>
    <w:p>
      <w:pPr>
        <w:ind w:left="567"/>
      </w:pPr>
      <w:r>
        <w:t>B) 35–45 mmHg</w:t>
      </w:r>
    </w:p>
    <w:p>
      <w:pPr>
        <w:ind w:left="567"/>
      </w:pPr>
      <w:r>
        <w:t>C) 50–60 mmHg</w:t>
      </w:r>
    </w:p>
    <w:p>
      <w:pPr>
        <w:ind w:left="567"/>
      </w:pPr>
      <w:r>
        <w:t>D) Cualquiera</w:t>
      </w:r>
    </w:p>
    <w:p>
      <w:r>
        <w:t>27. ¿Qué debe evitarse en un paciente con HSA o hemorragia intracerebral?</w:t>
      </w:r>
    </w:p>
    <w:p>
      <w:pPr>
        <w:ind w:left="567"/>
      </w:pPr>
      <w:r>
        <w:t>A) Cabecera a 30°</w:t>
      </w:r>
    </w:p>
    <w:p>
      <w:pPr>
        <w:ind w:left="567"/>
      </w:pPr>
      <w:r>
        <w:t>B) Aspiración prolongada y Valsalva</w:t>
      </w:r>
    </w:p>
    <w:p>
      <w:pPr>
        <w:ind w:left="567"/>
      </w:pPr>
      <w:r>
        <w:t>C) Oxígeno si hay hipoxemia</w:t>
      </w:r>
    </w:p>
    <w:p>
      <w:pPr>
        <w:ind w:left="567"/>
      </w:pPr>
      <w:r>
        <w:t>D) Monitorización</w:t>
      </w:r>
    </w:p>
    <w:p>
      <w:r>
        <w:t>28. La hipoxemia y la hipotensión en el paciente neurocrítico:</w:t>
      </w:r>
    </w:p>
    <w:p>
      <w:pPr>
        <w:ind w:left="567"/>
      </w:pPr>
      <w:r>
        <w:t>A) No influyen en el pronóstico</w:t>
      </w:r>
    </w:p>
    <w:p>
      <w:pPr>
        <w:ind w:left="567"/>
      </w:pPr>
      <w:r>
        <w:t>B) Aumentan la lesión secundaria</w:t>
      </w:r>
    </w:p>
    <w:p>
      <w:pPr>
        <w:ind w:left="567"/>
      </w:pPr>
      <w:r>
        <w:t>C) Se toleran bien</w:t>
      </w:r>
    </w:p>
    <w:p>
      <w:pPr>
        <w:ind w:left="567"/>
      </w:pPr>
      <w:r>
        <w:t>D) Solo afectan al pulmón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Pauta de respuestas con fundamento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1F3A5F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type="dxa" w:w="907"/>
            <w:shd w:val="clear" w:color="auto" w:fill="1F3A5F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Bloque</w:t>
            </w:r>
          </w:p>
        </w:tc>
        <w:tc>
          <w:tcPr>
            <w:tcW w:type="dxa" w:w="794"/>
            <w:shd w:val="clear" w:color="auto" w:fill="1F3A5F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Resp.</w:t>
            </w:r>
          </w:p>
        </w:tc>
        <w:tc>
          <w:tcPr>
            <w:tcW w:type="dxa" w:w="7257"/>
            <w:shd w:val="clear" w:color="auto" w:fill="1F3A5F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Fundamento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Ojos 2 + Verbal 2 + Motor 3 (flexión anormal) = 7.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La midriasis fija unilateral con caída de conciencia sugiere compresión del III par por herniación.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En coma metabólico el reflejo pupilar suele conservarse y no hay focalidad.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La cefalea en trueno es bandera roja de HSA.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El nistagmo vertical o que cambia de dirección sugiere origen central.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Es una respuesta tardía a la HTIC.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Priorizar vía aérea y escalar; Glasgow ≤8 obliga a considerar vía aérea definitiva.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B balance, E eyes, F face, A arm, S speech, T time.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Define la elegibilidad a reperfusión.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La hipoglicemia es un mimic frecuente y rápido de descartar.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Sin hipoxemia no hay beneficio demostrado (verificar umbral en guía vigente).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Alto riesgo de aspiración.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La hemorragia contraindica la trombólisis.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La clínica puede superponerse.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Más de 5 minutos justifica tratamiento de urgencia.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Dosis y vía son decisión médica y protocolo local.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Riesgo de lesión dental y obstrucción.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Protege la vía aérea (salvo sospecha de trauma cervical).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Preparar bolsa-mascarilla y aspiración.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Son pistas clínicas clásicas.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La hipoglicemia es una causa provocada y reversible.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No siempre se presenta completa.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El retraso aumenta la mortalidad; decisión médica.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El tratamiento precoz mejora el pronóstico.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Favorece el drenaje venoso.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La hiperventilación solo como puente breve en herniación inminente.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Elevan la PIC y la PA.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794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7257"/>
          </w:tcPr>
          <w:p>
            <w:r>
              <w:rPr>
                <w:sz w:val="19"/>
              </w:rPr>
              <w:t>Son factores evitables de lesión secundaria.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F3A5F"/>
        </w:rPr>
        <w:t>Parte B · Casos de análisis (3)</w:t>
      </w:r>
    </w:p>
    <w:p>
      <w:pPr>
        <w:pStyle w:val="Heading2"/>
      </w:pPr>
      <w:r>
        <w:rPr>
          <w:rFonts w:ascii="Calibri" w:hAnsi="Calibri"/>
          <w:color w:val="1F3A5F"/>
        </w:rPr>
        <w:t>Caso 1 · Deterioro de conciencia</w:t>
      </w:r>
    </w:p>
    <w:p>
      <w:r>
        <w:t>Mujer de 55 años con cefalea súbita, vómitos y somnolencia. GCS 10 que cae a 7 en 20 minutos, pupila izquierda 5 mm no reactiva, PA 185/95, FC 50, FR 9.</w:t>
      </w:r>
    </w:p>
    <w:p>
      <w:pPr>
        <w:pStyle w:val="ListNumber"/>
      </w:pPr>
      <w:r>
        <w:t>Identifica los signos de herniación y su relevancia.</w:t>
      </w:r>
    </w:p>
    <w:p>
      <w:pPr>
        <w:pStyle w:val="ListNumber"/>
      </w:pPr>
      <w:r>
        <w:t>Describe tus primeras 3 acciones y el SBAR.</w:t>
      </w:r>
    </w:p>
    <w:p>
      <w:pPr>
        <w:pStyle w:val="ListNumber"/>
      </w:pPr>
      <w:r>
        <w:t>Indica metas de SpO2 y PaCO2 y qué evitarías en las maniobras de aspiración.</w:t>
      </w:r>
    </w:p>
    <w:p>
      <w:r>
        <w:rPr>
          <w:i/>
        </w:rPr>
        <w:t>Criterios de corrección: reconocimiento del problema, priorización correcta de la vía aérea y la ventilación, comunicación clara y ausencia de errores críticos.</w:t>
      </w:r>
    </w:p>
    <w:p>
      <w:pPr>
        <w:pStyle w:val="Heading2"/>
      </w:pPr>
      <w:r>
        <w:rPr>
          <w:rFonts w:ascii="Calibri" w:hAnsi="Calibri"/>
          <w:color w:val="1F3A5F"/>
        </w:rPr>
        <w:t>Caso 2 · ACV en urgencia</w:t>
      </w:r>
    </w:p>
    <w:p>
      <w:r>
        <w:t>Hombre de 68 años con desviación de la comisura derecha, afasia y debilidad del brazo derecho. Última vez visto normal hace 90 minutos. Glicemia 110 mg/dL, SpO2 95%.</w:t>
      </w:r>
    </w:p>
    <w:p>
      <w:pPr>
        <w:pStyle w:val="ListNumber"/>
      </w:pPr>
      <w:r>
        <w:t>Aplica BE-FAST y registra la hora de inicio.</w:t>
      </w:r>
    </w:p>
    <w:p>
      <w:pPr>
        <w:pStyle w:val="ListNumber"/>
      </w:pPr>
      <w:r>
        <w:t>Describe el manejo de vía aérea y oxígeno.</w:t>
      </w:r>
    </w:p>
    <w:p>
      <w:pPr>
        <w:pStyle w:val="ListNumber"/>
      </w:pPr>
      <w:r>
        <w:t>¿Qué haces con la alimentación oral y por qué?</w:t>
      </w:r>
    </w:p>
    <w:p>
      <w:r>
        <w:rPr>
          <w:i/>
        </w:rPr>
        <w:t>Criterios de corrección: reconocimiento del problema, priorización correcta de la vía aérea y la ventilación, comunicación clara y ausencia de errores críticos.</w:t>
      </w:r>
    </w:p>
    <w:p>
      <w:pPr>
        <w:pStyle w:val="Heading2"/>
      </w:pPr>
      <w:r>
        <w:rPr>
          <w:rFonts w:ascii="Calibri" w:hAnsi="Calibri"/>
          <w:color w:val="1F3A5F"/>
        </w:rPr>
        <w:t>Caso 3 · Estatus epiléptico</w:t>
      </w:r>
    </w:p>
    <w:p>
      <w:r>
        <w:t>Joven de 22 años con crisis tónico-clónica de 6 minutos. Recibió benzodiacepina y ahora presenta FR 6, SpO2 82% y no protege la vía aérea.</w:t>
      </w:r>
    </w:p>
    <w:p>
      <w:pPr>
        <w:pStyle w:val="ListNumber"/>
      </w:pPr>
      <w:r>
        <w:t>¿Qué diagnóstico describe la situación?</w:t>
      </w:r>
    </w:p>
    <w:p>
      <w:pPr>
        <w:pStyle w:val="ListNumber"/>
      </w:pPr>
      <w:r>
        <w:t>Describe tu manejo ventilatorio inmediato.</w:t>
      </w:r>
    </w:p>
    <w:p>
      <w:pPr>
        <w:pStyle w:val="ListNumber"/>
      </w:pPr>
      <w:r>
        <w:t>¿Qué criterios sugieren intubación?</w:t>
      </w:r>
    </w:p>
    <w:p>
      <w:r>
        <w:rPr>
          <w:i/>
        </w:rPr>
        <w:t>Criterios de corrección: reconocimiento del problema, priorización correcta de la vía aérea y la ventilación, comunicación clara y ausencia de errores críticos.</w:t>
      </w:r>
    </w:p>
    <w:p>
      <w:pPr>
        <w:pStyle w:val="Heading1"/>
      </w:pPr>
      <w:r>
        <w:rPr>
          <w:rFonts w:ascii="Calibri" w:hAnsi="Calibri"/>
          <w:color w:val="1F3A5F"/>
        </w:rPr>
        <w:t>Parte C · Preguntas de foro (40%)</w:t>
      </w:r>
    </w:p>
    <w:p>
      <w:r>
        <w:rPr>
          <w:b/>
        </w:rPr>
        <w:t>Foro 1 · Escalamiento</w:t>
      </w:r>
    </w:p>
    <w:p>
      <w:r>
        <w:t>Describe un deterioro neurológico que hayas visto en tu servicio (sin datos identificables). ¿Qué señales fueron tempranas y cómo mejorarías el reporte con SBAR?</w:t>
      </w:r>
    </w:p>
    <w:p>
      <w:r>
        <w:rPr>
          <w:b/>
        </w:rPr>
        <w:t>Foro 2 · ACV</w:t>
      </w:r>
    </w:p>
    <w:p>
      <w:r>
        <w:t>¿Quién realiza el tamizaje de deglución en tu servicio y qué retrasos observas entre la llegada y la imagen? Propón una mejora concreta.</w:t>
      </w:r>
    </w:p>
    <w:p>
      <w:r>
        <w:rPr>
          <w:b/>
        </w:rPr>
        <w:t>Foro 3 · Crisis</w:t>
      </w:r>
    </w:p>
    <w:p>
      <w:r>
        <w:t>Describe cómo actuarías ante una crisis prolongada con depresión respiratoria tras benzodiacepinas. ¿Qué material tendrías a mano?</w:t>
      </w:r>
    </w:p>
    <w:p>
      <w:r>
        <w:rPr>
          <w:b/>
        </w:rPr>
        <w:t>Foro 4 · Neuroventilación</w:t>
      </w:r>
    </w:p>
    <w:p>
      <w:r>
        <w:t>Elige una medida de neuroventilación (metas de PaCO2, posición, aspiración) y explica cómo la aplicarías en un paciente con hemorragia subaracnoidea.</w:t>
      </w:r>
    </w:p>
    <w:p>
      <w:r>
        <w:t>Rúbrica sugerida (por foro): aplicación al propio servicio (40%), uso correcto de los conceptos (40%), respuesta fundamentada a un compañero (20%).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