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Urgencias neurológicas para kinesiólogos</w:t>
      </w:r>
    </w:p>
    <w:p>
      <w:r>
        <w:rPr>
          <w:sz w:val="24"/>
        </w:rPr>
        <w:t>Diplomado en Urgencias para Kinesiólogos · USS · Módulo 3</w:t>
        <w:br/>
        <w:t>Sábado 14 de noviembre de 2026 · 08:30–15:20</w:t>
        <w:br/>
        <w:t>Docente: Dr. Cristian Ugalde</w:t>
        <w:br/>
        <w:t>Modalidad: sincrónica online, con sesión grabada</w:t>
      </w:r>
    </w:p>
    <w:p>
      <w:pPr>
        <w:pStyle w:val="Heading1"/>
      </w:pPr>
      <w:r>
        <w:rPr>
          <w:rFonts w:ascii="Calibri" w:hAnsi="Calibri"/>
          <w:color w:val="1F3A5F"/>
        </w:rP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737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Programa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Diplomado en Urgencias para Kinesiólogos, Facultad de Ciencias de la Rehabilitación y Calidad de Vida, USS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Módulo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3 · Urgencias neurológicas, metabólicas y gastrointestinales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Fecha y horario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Sábado 14-nov-2026 · 08:30–13:00 y 14:00–15:20 (4 bloques; receso 13:00–14:00)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Carga docente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8 horas pedagógicas (4 bloques de 80 a 90 min)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Modalidad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Online sincrónica con salas pequeñas y votación en vivo; sesión grabada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Evaluación del módulo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Participación en foros 40% · Prueba de alternativas y análisis de casos 60%</w:t>
            </w:r>
          </w:p>
        </w:tc>
      </w:tr>
    </w:tbl>
    <w:p>
      <w:pPr>
        <w:pStyle w:val="Heading1"/>
      </w:pPr>
      <w:r>
        <w:rPr>
          <w:rFonts w:ascii="Calibri" w:hAnsi="Calibri"/>
          <w:color w:val="1F3A5F"/>
        </w:rPr>
        <w:t>2. Fundamentación y público objetivo</w:t>
      </w:r>
    </w:p>
    <w:p>
      <w:r>
        <w:t>El diplomado busca desarrollar habilidades técnicas y cognitivas para el manejo de urgencias críticas, incluida la kinesiología neurológica. Según la hoja de caracterización del curso (18 estudiantes), la mayoría trabaja en UPC y urgencia con experiencia en VMI, VMNI y ACLS (2 a 20 años); hay 2 estudiantes de APS y 1 estudiante de 5.º año sin experiencia clínica. Casi nadie declara formación neurológica.</w:t>
      </w:r>
    </w:p>
    <w:p>
      <w:r>
        <w:t>Decisión de diseño: la jornada no pretende formar neurólogos. Enseña a reconocer, escalar y actuar en lo que el kinesiólogo hace en urgencias: evaluar conciencia, proteger la vía aérea, oxigenar y ventilar, evitar la lesión secundaria y comunicar con claridad. El nivel se ajusta con casos de dificultad creciente y tareas por roles.</w:t>
      </w:r>
    </w:p>
    <w:p>
      <w:pPr>
        <w:pStyle w:val="Heading1"/>
      </w:pPr>
      <w:r>
        <w:rPr>
          <w:rFonts w:ascii="Calibri" w:hAnsi="Calibri"/>
          <w:color w:val="1F3A5F"/>
        </w:rPr>
        <w:t>3. Objetivos de aprendizaje</w:t>
      </w:r>
    </w:p>
    <w:p>
      <w:r>
        <w:t>Al finalizar la jornada, el estudiante será capaz de:</w:t>
      </w:r>
    </w:p>
    <w:p>
      <w:pPr>
        <w:pStyle w:val="ListNumber"/>
      </w:pPr>
      <w:r>
        <w:t>Evaluar el nivel de conciencia (Glasgow, pupilas, patrón respiratorio) e identificar signos de hipertensión intracraneal y herniación, comunicándolos con formato SBAR.</w:t>
      </w:r>
    </w:p>
    <w:p>
      <w:pPr>
        <w:pStyle w:val="ListNumber"/>
      </w:pPr>
      <w:r>
        <w:t>Diferenciar coma estructural de metabólico y reconocer banderas rojas de cefalea y vértigo.</w:t>
      </w:r>
    </w:p>
    <w:p>
      <w:pPr>
        <w:pStyle w:val="ListNumber"/>
      </w:pPr>
      <w:r>
        <w:t>Reconocer un ACV con BE-FAST, registrar la hora de última vez visto normal y activar el código según protocolo local, resguardando vía aérea y oxigenación.</w:t>
      </w:r>
    </w:p>
    <w:p>
      <w:pPr>
        <w:pStyle w:val="ListNumber"/>
      </w:pPr>
      <w:r>
        <w:t>Actuar frente a una crisis convulsiva y un estatus epiléptico: seguridad, tiempos, vía aérea y ventilación tras benzodiacepinas.</w:t>
      </w:r>
    </w:p>
    <w:p>
      <w:pPr>
        <w:pStyle w:val="ListNumber"/>
      </w:pPr>
      <w:r>
        <w:t>Reconocer meningitis/encefalitis, hemorragia intracraneal y HSA, y aplicar medidas de neuroventilación que eviten la lesión secundaria.</w:t>
      </w:r>
    </w:p>
    <w:p>
      <w:pPr>
        <w:pStyle w:val="Heading1"/>
      </w:pPr>
      <w:r>
        <w:rPr>
          <w:rFonts w:ascii="Calibri" w:hAnsi="Calibri"/>
          <w:color w:val="1F3A5F"/>
        </w:rPr>
        <w:t>4. Cronograma detallado</w:t>
      </w:r>
    </w:p>
    <w:p>
      <w:pPr>
        <w:pStyle w:val="Heading2"/>
      </w:pPr>
      <w:r>
        <w:rPr>
          <w:rFonts w:ascii="Calibri" w:hAnsi="Calibri"/>
          <w:color w:val="1F3A5F"/>
        </w:rPr>
        <w:t>Bloque 1 · 08:30–09:50 · Semiología neurológica, compromiso de conciencia, vértigo y cefalea</w:t>
      </w:r>
    </w:p>
    <w:p>
      <w:r>
        <w:rPr>
          <w:i/>
        </w:rPr>
        <w:t>Rol kinésico: evaluar, proteger la vía aérea y escalar con SBAR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Hora</w:t>
            </w:r>
          </w:p>
        </w:tc>
        <w:tc>
          <w:tcPr>
            <w:tcW w:type="dxa" w:w="68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635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08:30–08:40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Bienvenida, reglas de la sesión online, encuesta diagnóstica en vivo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Interacción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08:40–08:50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Caso gancho: paciente somnolienta con signos de herniación (votación: Glasgow y primera acción)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Caso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08:50–09:05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1: Glasgow, pupilas, patrón respiratorio, signos de HTIC y herniación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09:05–09:20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2: coma estructural vs metabólico; banderas rojas de cefalea y vértigo central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09:20–09:45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PRÁCTICA 1: puntuar Glasgow y pupilas en videos de pacientes simulados (votación) + salas pequeñas con 2 casos y SBAR de 30 s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Práctica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09:45–09:50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Cierre: mensajes clave y pregunta de foro 1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Cierre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5F"/>
        </w:rPr>
        <w:t>Bloque 2 · 10:00–11:20 · Accidente cerebrovascular: reconocimiento y enfoque terapéutico inicial</w:t>
      </w:r>
    </w:p>
    <w:p>
      <w:r>
        <w:rPr>
          <w:i/>
        </w:rPr>
        <w:t>Rol kinésico: reconocer, activar el código, vía aérea, oxigenación y prevención de aspiración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Hora</w:t>
            </w:r>
          </w:p>
        </w:tc>
        <w:tc>
          <w:tcPr>
            <w:tcW w:type="dxa" w:w="68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635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10:00–10:10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Caso gancho: ACV en urgencia, ¿qué hora anoto y qué hago en 5 minutos?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Caso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10:10–10:30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1: isquemia vs hemorragia, BE-FAST, reloj del ACV, conceptos de reperfusión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10:30–10:45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2: primeros minutos (ABCDE), oxígeno, glicemia, ayuno hasta tamizaje de deglución, rol kinésico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10:45–11:15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PRÁCTICA 2: caso ramificado en salas pequeñas con 3 puntos de decisión (reconocer / tiempo y vía aérea / reporte y traslado)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Práctica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11:15–11:20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Cierre y pregunta de foro 2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Cierre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A5F"/>
        </w:rPr>
        <w:t>Bloque 3 · 11:30–13:00 · Convulsiones en el contexto de la patología urgente</w:t>
      </w:r>
    </w:p>
    <w:p>
      <w:r>
        <w:rPr>
          <w:i/>
        </w:rPr>
        <w:t>Rol kinésico: seguridad, protección de vía aérea y ventilación tras benzodiacepinas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Hora</w:t>
            </w:r>
          </w:p>
        </w:tc>
        <w:tc>
          <w:tcPr>
            <w:tcW w:type="dxa" w:w="68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635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11:30–11:40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Caso gancho: crisis tónico-clónica en sala de espera (¿qué hago y qué no hago?)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Caso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11:40–12:00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1: qué es una crisis y qué no (mimics), primeros pasos y regla de 5 minutos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12:00–12:15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2: estatus epiléptico, escalonamiento de fármacos, vía aérea y ventilación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12:15–12:50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PRÁCTICA 3: simulación en salas con roles (líder, vía aérea, medicación, registro) y checklist de desempeño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Práctica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12:50–13:00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Debriefing y pregunta de foro 3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Cierre</w:t>
            </w:r>
          </w:p>
        </w:tc>
      </w:tr>
    </w:tbl>
    <w:p/>
    <w:p>
      <w:r>
        <w:rPr>
          <w:i/>
        </w:rPr>
        <w:t>13:00–14:00 · Receso</w:t>
      </w:r>
    </w:p>
    <w:p>
      <w:pPr>
        <w:pStyle w:val="Heading2"/>
      </w:pPr>
      <w:r>
        <w:rPr>
          <w:rFonts w:ascii="Calibri" w:hAnsi="Calibri"/>
          <w:color w:val="1F3A5F"/>
        </w:rPr>
        <w:t>Bloque 4 · 14:00–15:20 · Infecciones y hemorragia del SNC que comprometen la vida + integración ventilatoria</w:t>
      </w:r>
    </w:p>
    <w:p>
      <w:r>
        <w:rPr>
          <w:i/>
        </w:rPr>
        <w:t>Rol kinésico: precauciones, control de la PIC y neuroventilación (puente al bloque de Andro Marincovic)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Hora</w:t>
            </w:r>
          </w:p>
        </w:tc>
        <w:tc>
          <w:tcPr>
            <w:tcW w:type="dxa" w:w="68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Min</w:t>
            </w:r>
          </w:p>
        </w:tc>
        <w:tc>
          <w:tcPr>
            <w:tcW w:type="dxa" w:w="635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Tipo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14:00–14:05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Reactivación: pregunta de votación de repaso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Interacción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14:05–14:25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1: meningitis/encefalitis, HSA y hemorragia intracerebral, HTIC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14:25–14:45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Micro-clase 2: neuroventilación (metas de SpO2 y PaCO2, aspiración, posición, errores a evitar)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Teoría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14:45–15:15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PRÁCTICA 4: caso integrador escalonado (HSA con GCS 8): reconocer, asegurar vía aérea, ventilar, trasladar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Práctica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15:15–15:20</w:t>
            </w:r>
          </w:p>
        </w:tc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350"/>
          </w:tcPr>
          <w:p>
            <w:r>
              <w:rPr>
                <w:sz w:val="19"/>
              </w:rPr>
              <w:t>Cierre del módulo, evaluación formativa, pregunta de foro 4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Cierre</w:t>
            </w:r>
          </w:p>
        </w:tc>
      </w:tr>
    </w:tbl>
    <w:p/>
    <w:p>
      <w:r>
        <w:t>Resumen de tiempos: 330 minutos de actividad; 120 minutos de práctica en vivo (36%), 170 minutos de teoría y casos gancho y el resto en interacción y cierres. Los 10 minutos entre bloques son pausas.</w:t>
      </w:r>
    </w:p>
    <w:p>
      <w:pPr>
        <w:pStyle w:val="Heading1"/>
      </w:pPr>
      <w:r>
        <w:rPr>
          <w:rFonts w:ascii="Calibri" w:hAnsi="Calibri"/>
          <w:color w:val="1F3A5F"/>
        </w:rPr>
        <w:t>5. Metodología online</w:t>
      </w:r>
    </w:p>
    <w:p>
      <w:pPr>
        <w:pStyle w:val="ListBullet"/>
      </w:pPr>
      <w:r>
        <w:t>Estructura repetida en cada bloque: caso gancho, micro-clases de 15 a 20 min, práctica guiada y cierre. Evita sesiones expositivas largas.</w:t>
      </w:r>
    </w:p>
    <w:p>
      <w:pPr>
        <w:pStyle w:val="ListBullet"/>
      </w:pPr>
      <w:r>
        <w:t>Prácticas: puntuación de Glasgow y pupilas sobre videos de pacientes simulados; casos ramificados por votación; simulación por salas con roles (líder, vía aérea, medicación, registro) y checklist.</w:t>
      </w:r>
    </w:p>
    <w:p>
      <w:pPr>
        <w:pStyle w:val="ListBullet"/>
      </w:pPr>
      <w:r>
        <w:t>Material previo (20 min): un video corto y un cuestionario diagnóstico de 5 preguntas.</w:t>
      </w:r>
    </w:p>
    <w:p>
      <w:pPr>
        <w:pStyle w:val="ListBullet"/>
      </w:pPr>
      <w:r>
        <w:t>Material posterior: lámina de mensajes clave, banco de preguntas con retroalimentación y las 4 preguntas de foro.</w:t>
      </w:r>
    </w:p>
    <w:p>
      <w:pPr>
        <w:pStyle w:val="ListBullet"/>
      </w:pPr>
      <w:r>
        <w:t>Privacidad (R8): todos los casos son ficticios; los videos deben ser de actores o con consentimiento y sin datos identificables. La grabación se informa al inicio.</w:t>
      </w:r>
    </w:p>
    <w:p>
      <w:pPr>
        <w:pStyle w:val="Heading1"/>
      </w:pPr>
      <w:r>
        <w:rPr>
          <w:rFonts w:ascii="Calibri" w:hAnsi="Calibri"/>
          <w:color w:val="1F3A5F"/>
        </w:rPr>
        <w:t>6. Contenidos que implican participación directa del kinesiólogo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6520"/>
            <w:shd w:val="clear" w:color="auto" w:fill="1F3A5F"/>
          </w:tcPr>
          <w:p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Participación kinésica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Conciencia, pupilas, herniación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Evaluación seriada, escalamiento con SBAR, posición y vía aérea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ACV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Reconocer con BE-FAST, activar código, oxigenación según SpO2, prevención de aspiración, apoyo ventilatorio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Convulsiones y estatus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Seguridad, vía aérea, ventilación tras benzodiacepinas, apoyo en la intubación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Meningitis, encefalitis, HSA, hemorragia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Precauciones, control de la PIC, aspiración y posicionamiento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Neuroventilación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Metas de SpO2 y PaCO2, evitar hipoxemia e hipotensión, ventilación protectora</w:t>
            </w:r>
          </w:p>
        </w:tc>
      </w:tr>
    </w:tbl>
    <w:p>
      <w:pPr>
        <w:pStyle w:val="Heading1"/>
      </w:pPr>
      <w:r>
        <w:rPr>
          <w:rFonts w:ascii="Calibri" w:hAnsi="Calibri"/>
          <w:color w:val="1F3A5F"/>
        </w:rPr>
        <w:t>7. Evaluación</w:t>
      </w:r>
    </w:p>
    <w:p>
      <w:pPr>
        <w:pStyle w:val="ListBullet"/>
      </w:pPr>
      <w:r>
        <w:t>Foros (40%): 4 preguntas, una por bloque, con rúbrica de aplicación al propio servicio. Ver banco de preguntas.</w:t>
      </w:r>
    </w:p>
    <w:p>
      <w:pPr>
        <w:pStyle w:val="ListBullet"/>
      </w:pPr>
      <w:r>
        <w:t>Prueba (60%): 28 preguntas de alternativas y 3 casos de análisis, ver archivo del banco.</w:t>
      </w:r>
    </w:p>
    <w:p>
      <w:pPr>
        <w:pStyle w:val="ListBullet"/>
      </w:pPr>
      <w:r>
        <w:t>Evaluación formativa: votaciones en vivo y checklists de simulación (sin nota).</w:t>
      </w:r>
    </w:p>
    <w:p>
      <w:pPr>
        <w:pStyle w:val="Heading1"/>
      </w:pPr>
      <w:r>
        <w:rPr>
          <w:rFonts w:ascii="Calibri" w:hAnsi="Calibri"/>
          <w:color w:val="1F3A5F"/>
        </w:rPr>
        <w:t>8. Distribución sugerida del cuarto tema</w:t>
      </w:r>
    </w:p>
    <w:p>
      <w:r>
        <w:t>Los 4 temas del calendario quedan cubiertos: semiología, conciencia, vértigo y cefalea en el bloque 1; ACV en el bloque 2; convulsiones en el bloque 3; infecciones y hemorragia del SNC en el bloque 4, que además integra la neuroventilación como puente hacia la sesión de manejo kinésico del usuario neurocrítico del mismo día.</w:t>
      </w:r>
    </w:p>
    <w:p>
      <w:pPr>
        <w:pStyle w:val="Heading1"/>
      </w:pPr>
      <w:r>
        <w:rPr>
          <w:rFonts w:ascii="Calibri" w:hAnsi="Calibri"/>
          <w:color w:val="1F3A5F"/>
        </w:rPr>
        <w:t>9. Límites e incertidumbres (R12)</w:t>
      </w:r>
    </w:p>
    <w:p>
      <w:pPr>
        <w:pStyle w:val="ListBullet"/>
      </w:pPr>
      <w:r>
        <w:t>Ninguna cifra clínica de este programa tiene aún una cita verificada: ventanas de reperfusión, umbral de oxígeno, metas de PaCO2 y esquema de fármacos del estatus deben confirmarse con la guía MINSAL/GES de ACV y las guías AHA/ASA, AES/Neurocritical Care Society y Brain Trauma Foundation vigentes (R1, R2).</w:t>
      </w:r>
    </w:p>
    <w:p>
      <w:pPr>
        <w:pStyle w:val="ListBullet"/>
      </w:pPr>
      <w:r>
        <w:t>No se revisó el contenido de los otros módulos; puede haber solapamiento con el bloque de manejo kinésico del neurocrítico y con trauma encéfalo-craneano (decisión del docente: no coordinar).</w:t>
      </w:r>
    </w:p>
    <w:p>
      <w:pPr>
        <w:pStyle w:val="ListBullet"/>
      </w:pPr>
      <w:r>
        <w:t>Se desconoce la plataforma, así que las funciones de salas pequeñas y votación en vivo deben confirmarse con ella.</w:t>
      </w:r>
    </w:p>
    <w:p>
      <w:pPr>
        <w:pStyle w:val="ListBullet"/>
      </w:pPr>
      <w:r>
        <w:t>Los bloques 2 y 3 dependen de los protocolos locales (código ACV, tamizaje de deglución): se enseñan como contexto y se discuten en el foro.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