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B9C46" w14:textId="3D51F346" w:rsidR="00551C82" w:rsidRDefault="00551C82" w:rsidP="00551C82">
      <w:r>
        <w:t>1) flow data</w:t>
      </w:r>
      <w:r>
        <w:tab/>
      </w:r>
    </w:p>
    <w:p w14:paraId="576EBF49" w14:textId="6078AC01" w:rsidR="00B91850" w:rsidRDefault="00AD1DE9">
      <w:r>
        <w:t>Flow data</w:t>
      </w:r>
      <w:r w:rsidR="00F3021A">
        <w:t xml:space="preserve"> pre- and post-LYX, LJX dams </w:t>
      </w:r>
      <w:r>
        <w:t>are measured at a roughly 10-day basis (</w:t>
      </w:r>
      <w:r>
        <w:rPr>
          <w:rFonts w:hint="eastAsia"/>
        </w:rPr>
        <w:t>旬</w:t>
      </w:r>
      <w:r>
        <w:t xml:space="preserve">Xun in Chinese, one month = 3 Xuns -&gt; one Xun ~= 10 days) and </w:t>
      </w:r>
      <w:r w:rsidR="00F3021A">
        <w:t>are collected from</w:t>
      </w:r>
      <w:r>
        <w:t xml:space="preserve"> June 2000 to June 2010 (10 water years over June to June). As the simulation period is set to a calendar year Jan-Dec, data of the first half year and the last half year are dropped for consistency. The 10-day flow data over Jan 2001 to Dec 2009 are then used to sample synthetic streamflow data. Time series of flow data are shown in Figure 1.</w:t>
      </w:r>
    </w:p>
    <w:p w14:paraId="7462B68B" w14:textId="5BF64F71" w:rsidR="00AD1DE9" w:rsidRDefault="00AD1DE9">
      <w:r>
        <w:rPr>
          <w:noProof/>
        </w:rPr>
        <w:drawing>
          <wp:inline distT="0" distB="0" distL="0" distR="0" wp14:anchorId="4873BF91" wp14:editId="3B8F109F">
            <wp:extent cx="5852156" cy="271688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1" t="5530" r="9157"/>
                    <a:stretch/>
                  </pic:blipFill>
                  <pic:spPr bwMode="auto">
                    <a:xfrm>
                      <a:off x="0" y="0"/>
                      <a:ext cx="5852160" cy="27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78AC" w14:textId="5F9FC64A" w:rsidR="00AD1DE9" w:rsidRDefault="00AD1DE9" w:rsidP="00AD1DE9">
      <w:pPr>
        <w:jc w:val="center"/>
      </w:pPr>
      <w:r>
        <w:t>Figure 1. Flow over 2001-2019 for pre-LYX (red solid), post-LYX (red dashed), pre-LJX (blue solid), and post-LJX (blue dashed)</w:t>
      </w:r>
    </w:p>
    <w:p w14:paraId="6FC7D7DD" w14:textId="21E9C2C2" w:rsidR="00AD1DE9" w:rsidRDefault="00AD1DE9" w:rsidP="00AD1DE9">
      <w:r>
        <w:rPr>
          <w:noProof/>
        </w:rPr>
        <w:drawing>
          <wp:inline distT="0" distB="0" distL="0" distR="0" wp14:anchorId="753CEE8D" wp14:editId="51BDF34F">
            <wp:extent cx="5850562" cy="3220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4489" r="9028" b="4602"/>
                    <a:stretch/>
                  </pic:blipFill>
                  <pic:spPr bwMode="auto">
                    <a:xfrm>
                      <a:off x="0" y="0"/>
                      <a:ext cx="5852160" cy="32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5DA0" w14:textId="26090F1E" w:rsidR="00AD1DE9" w:rsidRDefault="00AD1DE9" w:rsidP="00AD1DE9">
      <w:r>
        <w:lastRenderedPageBreak/>
        <w:t xml:space="preserve">Figure 2. Seasonality of flow </w:t>
      </w:r>
      <w:r w:rsidR="004563E8">
        <w:t xml:space="preserve">for pre-LYX (top left), post-LYX </w:t>
      </w:r>
      <w:r w:rsidR="004563E8">
        <w:rPr>
          <w:rFonts w:hint="eastAsia"/>
        </w:rPr>
        <w:t>(</w:t>
      </w:r>
      <w:r w:rsidR="004563E8">
        <w:t>top right), pre-LJX (bottom left), and post-LJX (bottom right)</w:t>
      </w:r>
    </w:p>
    <w:p w14:paraId="4495B0FD" w14:textId="416B02E5" w:rsidR="004563E8" w:rsidRDefault="004563E8" w:rsidP="00AD1DE9">
      <w:r>
        <w:t xml:space="preserve">Seasonality of flow is shown in Figure 2. Pre-LYX, post-LYX, and pre-LJX flows show similar monomodal patterns while the peak flow is more smoothed for post-LYX and pre-LJX flows. Interestingly, post-LJX flow shows a somewhat bimodal pattern. </w:t>
      </w:r>
    </w:p>
    <w:p w14:paraId="415AF271" w14:textId="5913BE6D" w:rsidR="004563E8" w:rsidRDefault="004563E8" w:rsidP="00AD1DE9"/>
    <w:p w14:paraId="657D5295" w14:textId="7C8B008D" w:rsidR="004563E8" w:rsidRDefault="004563E8" w:rsidP="00AD1DE9">
      <w:r>
        <w:t>Still, we observed good linear relationship between the inflow (pre-LYX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a</w:t>
      </w:r>
      <w:r>
        <w:t xml:space="preserve">nd the lateral flow (pre-LJX – post-LYX) as shown in Figure 3. A two-step algorithm is used to resample the flow data (i.e. inflow and lateral flow). The inflow is generated using a synthetic streamflow generator that preserve the temporal autocorrelation. The lateral flow is then conditioned on the sampled inflow data and </w:t>
      </w:r>
      <w:r w:rsidR="00422553">
        <w:t xml:space="preserve">is approximated using a Gaussian random variable to </w:t>
      </w:r>
      <w:r w:rsidR="003B33F6">
        <w:t>preserve</w:t>
      </w:r>
      <w:r w:rsidR="00422553">
        <w:t xml:space="preserve"> the positive correlations between inflow and lateral flow.</w:t>
      </w:r>
      <w:r w:rsidR="003B33F6">
        <w:t xml:space="preserve"> The standard deviation linearly increases with the amplitude of inflow</w:t>
      </w:r>
      <w:r w:rsidR="00B1513D">
        <w:t xml:space="preserve"> and is approximated as ¼ of difference between the upper and lower 95% fitted lines. </w:t>
      </w:r>
      <w:r w:rsidR="003B33F6">
        <w:t xml:space="preserve"> </w:t>
      </w:r>
    </w:p>
    <w:p w14:paraId="7E7F5C0B" w14:textId="28F9E58C" w:rsidR="003B33F6" w:rsidRDefault="00E73C3B" w:rsidP="003B33F6">
      <w:pPr>
        <w:jc w:val="center"/>
      </w:pPr>
      <w:r>
        <w:rPr>
          <w:noProof/>
        </w:rPr>
        <w:drawing>
          <wp:inline distT="0" distB="0" distL="0" distR="0" wp14:anchorId="15E7F092" wp14:editId="67C19CA5">
            <wp:extent cx="5943600" cy="738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59E" w14:textId="598F80B7" w:rsidR="004563E8" w:rsidRDefault="004563E8" w:rsidP="004563E8">
      <w:r>
        <w:rPr>
          <w:noProof/>
        </w:rPr>
        <w:drawing>
          <wp:inline distT="0" distB="0" distL="0" distR="0" wp14:anchorId="12CE778B" wp14:editId="23E4133A">
            <wp:extent cx="5943600" cy="4119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C81D" w14:textId="6CFF11DB" w:rsidR="004563E8" w:rsidRDefault="004563E8" w:rsidP="004563E8">
      <w:pPr>
        <w:jc w:val="center"/>
      </w:pPr>
      <w:r>
        <w:t>Figure 3. Scatter plot between the inflow and lateral flow and the linear fits</w:t>
      </w:r>
    </w:p>
    <w:p w14:paraId="105CF972" w14:textId="6D4FB6A1" w:rsidR="00F31ACA" w:rsidRDefault="00551C82" w:rsidP="00F31ACA">
      <w:r>
        <w:lastRenderedPageBreak/>
        <w:t>2) SOW generator</w:t>
      </w:r>
    </w:p>
    <w:p w14:paraId="37696412" w14:textId="52D79C5D" w:rsidR="00AE493B" w:rsidRDefault="00AE493B" w:rsidP="00F31ACA">
      <w:r>
        <w:t xml:space="preserve">An auto-regressive model is approximated based on the auto-correlation structure of the observational flow as follows Kirsch et al., 2013 to generate synthetic streamflow at pre-LYX. The observational flow data is denoted by y or Y. For flow in the matrix form Y, the matrix is organized such that each row is flow of one year and each column is flow data of the given 10-day period across years. Therefore, Y is a 9x36 matrix here. The algorithm consists of 5 steps: </w:t>
      </w:r>
    </w:p>
    <w:p w14:paraId="578D035A" w14:textId="02044C03" w:rsidR="00AE493B" w:rsidRDefault="00AE493B" w:rsidP="00F31ACA">
      <w:r>
        <w:t>i) Y1 = log(Y0) to reduced skewness;</w:t>
      </w:r>
    </w:p>
    <w:p w14:paraId="79E4C21D" w14:textId="7164EEE7" w:rsidR="00AE493B" w:rsidRDefault="00AE493B" w:rsidP="00F31ACA">
      <w:r>
        <w:t>ii) Ya = (Y1 – mean(Y1))/std(Y1) to reshape flow data to roughly normal;</w:t>
      </w:r>
    </w:p>
    <w:p w14:paraId="1ED151EB" w14:textId="0C17D9F1" w:rsidR="00AE493B" w:rsidRDefault="00AE493B" w:rsidP="00F31ACA">
      <w:r>
        <w:t>iii) to sample uncorrelated normal random variables X(i,j)~N(0,1) (</w:t>
      </w:r>
      <m:oMath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N*36</m:t>
            </m:r>
          </m:sup>
        </m:sSup>
      </m:oMath>
      <w:r>
        <w:t>);</w:t>
      </w:r>
    </w:p>
    <w:p w14:paraId="0A109FE3" w14:textId="68AE9BA9" w:rsidR="00AE493B" w:rsidRDefault="00AE493B" w:rsidP="00F31ACA">
      <w:r>
        <w:t>iv) to decompose the autocorrelation structure of Ya using the Cholesky factorization corr(Ya) = Y’*Y = Q’*Q;</w:t>
      </w:r>
    </w:p>
    <w:p w14:paraId="3AB8D982" w14:textId="5D8A7FF7" w:rsidR="00AE493B" w:rsidRDefault="00AE493B" w:rsidP="00F31ACA">
      <w:r>
        <w:t>v) to impose the autocorrelations onto X to generate Z such that Z = X*Q</w:t>
      </w:r>
    </w:p>
    <w:p w14:paraId="3F6DF7B7" w14:textId="255C110E" w:rsidR="00DB2BC2" w:rsidRDefault="00AE493B" w:rsidP="00F31ACA">
      <w:r>
        <w:t xml:space="preserve">It is easy to prove that Z, the generated samples, preserve the autocorrelations. corr(Z) = Z’*Z = Q’*X’*X*Q. </w:t>
      </w:r>
      <w:r>
        <w:t>X’*X</w:t>
      </w:r>
      <w:r>
        <w:t xml:space="preserve"> ~= I since X are uncorrelated normal rv. </w:t>
      </w:r>
      <w:r w:rsidR="00425242">
        <w:t>corr(Z) = Z’*Z = Q’</w:t>
      </w:r>
      <w:r w:rsidR="00425242">
        <w:t xml:space="preserve"> </w:t>
      </w:r>
      <w:r w:rsidR="00425242">
        <w:t>*Q</w:t>
      </w:r>
      <w:r w:rsidR="00425242">
        <w:t xml:space="preserve"> = corr(Ya).</w:t>
      </w:r>
    </w:p>
    <w:p w14:paraId="6EC9D53D" w14:textId="45018ECA" w:rsidR="00DB2BC2" w:rsidRDefault="00151857" w:rsidP="00F31ACA">
      <w:r>
        <w:t xml:space="preserve">The assumption of normality is well assumed after step (i) and (ii) as shown in Figure 4. </w:t>
      </w:r>
    </w:p>
    <w:p w14:paraId="7291B3D0" w14:textId="67CFC0E9" w:rsidR="00151857" w:rsidRDefault="00151857" w:rsidP="00151857">
      <w:pPr>
        <w:jc w:val="center"/>
      </w:pPr>
      <w:r>
        <w:rPr>
          <w:noProof/>
        </w:rPr>
        <w:drawing>
          <wp:inline distT="0" distB="0" distL="0" distR="0" wp14:anchorId="37C8238B" wp14:editId="5C3BA01B">
            <wp:extent cx="5852160" cy="302686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1" r="7818"/>
                    <a:stretch/>
                  </pic:blipFill>
                  <pic:spPr bwMode="auto">
                    <a:xfrm>
                      <a:off x="0" y="0"/>
                      <a:ext cx="5852160" cy="302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8935" w14:textId="767A1F45" w:rsidR="00151857" w:rsidRDefault="00151857" w:rsidP="00151857">
      <w:pPr>
        <w:jc w:val="center"/>
      </w:pPr>
      <w:r>
        <w:t xml:space="preserve">Figure 4. Boxplot of Ya </w:t>
      </w:r>
    </w:p>
    <w:p w14:paraId="460E96BF" w14:textId="583F9D4A" w:rsidR="00151857" w:rsidRDefault="00151857" w:rsidP="00151857">
      <w:r>
        <w:t>N is set to 900 and autocorrelations as calculated given by corr(Ya) and corr(Z) are compared in Figure 5, which shows very good consistency. The N = 900 samples for each 10-day period are then divided into 100 equally-sized subsets to estimat</w:t>
      </w:r>
      <w:r w:rsidR="005E0D08">
        <w:t>e</w:t>
      </w:r>
      <w:r>
        <w:t xml:space="preserve"> the time-varying lag-1 and lag-2 correlations as shown in Figure 6. </w:t>
      </w:r>
      <w:r w:rsidR="005E0D08">
        <w:t>Consistent inner-annual variations are observed for the lag-1 and lag-2 correlations between Ya and Z. It should be noted that we are only imposing the inner-annual autocorrelation to the sampled flow data given how we organize the data matrix Y (lag &lt;= 36).</w:t>
      </w:r>
    </w:p>
    <w:p w14:paraId="364DF131" w14:textId="7CCF148F" w:rsidR="00151857" w:rsidRDefault="00151857" w:rsidP="00151857">
      <w:pPr>
        <w:jc w:val="right"/>
      </w:pPr>
      <w:r>
        <w:rPr>
          <w:noProof/>
        </w:rPr>
        <w:lastRenderedPageBreak/>
        <w:drawing>
          <wp:inline distT="0" distB="0" distL="0" distR="0" wp14:anchorId="7AE98B2E" wp14:editId="4652CB2C">
            <wp:extent cx="5852160" cy="25688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0" r="7956"/>
                    <a:stretch/>
                  </pic:blipFill>
                  <pic:spPr bwMode="auto">
                    <a:xfrm>
                      <a:off x="0" y="0"/>
                      <a:ext cx="5852160" cy="25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9DB3" w14:textId="7DA3F31A" w:rsidR="00151857" w:rsidRDefault="00151857" w:rsidP="00151857">
      <w:pPr>
        <w:ind w:right="110"/>
        <w:jc w:val="center"/>
      </w:pPr>
      <w:r>
        <w:t>Figure 5. Autocorrelation maps for Ya (left) and Z (right)</w:t>
      </w:r>
    </w:p>
    <w:p w14:paraId="15B22ADA" w14:textId="6895D5C1" w:rsidR="00151857" w:rsidRDefault="00151857" w:rsidP="00151857">
      <w:pPr>
        <w:ind w:right="110"/>
        <w:jc w:val="center"/>
      </w:pPr>
      <w:r>
        <w:rPr>
          <w:noProof/>
        </w:rPr>
        <w:drawing>
          <wp:inline distT="0" distB="0" distL="0" distR="0" wp14:anchorId="62BF6B4F" wp14:editId="03A19320">
            <wp:extent cx="5852160" cy="397384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4" r="7287"/>
                    <a:stretch/>
                  </pic:blipFill>
                  <pic:spPr bwMode="auto">
                    <a:xfrm>
                      <a:off x="0" y="0"/>
                      <a:ext cx="5852160" cy="39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4553" w14:textId="5F0B4AE0" w:rsidR="00151857" w:rsidRDefault="00151857" w:rsidP="00151857">
      <w:pPr>
        <w:ind w:right="110"/>
        <w:jc w:val="center"/>
      </w:pPr>
      <w:r>
        <w:t>Figure 6. Lag-1 (top) and lag-2 (bottom) correlations for Ya (red diamonds) and Z (blue line for the 90</w:t>
      </w:r>
      <w:r w:rsidRPr="00151857">
        <w:rPr>
          <w:vertAlign w:val="superscript"/>
        </w:rPr>
        <w:t>th</w:t>
      </w:r>
      <w:r>
        <w:t>-10</w:t>
      </w:r>
      <w:r w:rsidRPr="00151857">
        <w:rPr>
          <w:vertAlign w:val="superscript"/>
        </w:rPr>
        <w:t>th</w:t>
      </w:r>
      <w:r>
        <w:t xml:space="preserve"> percentile range) </w:t>
      </w:r>
    </w:p>
    <w:p w14:paraId="595DAD8D" w14:textId="09FCCC89" w:rsidR="00551C82" w:rsidRDefault="00551C82" w:rsidP="00F31ACA"/>
    <w:p w14:paraId="5E1DB168" w14:textId="77777777" w:rsidR="004563E8" w:rsidRPr="004563E8" w:rsidRDefault="004563E8" w:rsidP="00151857">
      <w:pPr>
        <w:rPr>
          <w:rFonts w:hint="eastAsia"/>
        </w:rPr>
      </w:pPr>
    </w:p>
    <w:sectPr w:rsidR="004563E8" w:rsidRPr="00456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D0"/>
    <w:rsid w:val="00151857"/>
    <w:rsid w:val="00231AA9"/>
    <w:rsid w:val="003B33F6"/>
    <w:rsid w:val="00422553"/>
    <w:rsid w:val="00425242"/>
    <w:rsid w:val="004563E8"/>
    <w:rsid w:val="00551C82"/>
    <w:rsid w:val="005E0D08"/>
    <w:rsid w:val="006B153F"/>
    <w:rsid w:val="00AC64D0"/>
    <w:rsid w:val="00AD1DE9"/>
    <w:rsid w:val="00AE493B"/>
    <w:rsid w:val="00B1513D"/>
    <w:rsid w:val="00B91850"/>
    <w:rsid w:val="00DB2BC2"/>
    <w:rsid w:val="00E73C3B"/>
    <w:rsid w:val="00F3021A"/>
    <w:rsid w:val="00F3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3C221"/>
  <w15:chartTrackingRefBased/>
  <w15:docId w15:val="{9519C681-AADB-4855-A2D2-7D65B1CA2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9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Peng</dc:creator>
  <cp:keywords/>
  <dc:description/>
  <cp:lastModifiedBy>Xiao Peng</cp:lastModifiedBy>
  <cp:revision>12</cp:revision>
  <dcterms:created xsi:type="dcterms:W3CDTF">2021-05-03T23:29:00Z</dcterms:created>
  <dcterms:modified xsi:type="dcterms:W3CDTF">2021-05-04T01:54:00Z</dcterms:modified>
</cp:coreProperties>
</file>