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CRUSE</w:t>
      </w:r>
      <w:r>
        <w:t xml:space="preserve"> </w:t>
      </w:r>
      <w:r>
        <w:t xml:space="preserve">to</w:t>
      </w:r>
      <w:r>
        <w:t xml:space="preserve"> </w:t>
      </w:r>
      <w:r>
        <w:t xml:space="preserve">Safe</w:t>
      </w:r>
      <w:r>
        <w:t xml:space="preserve"> </w:t>
      </w:r>
      <w:r>
        <w:t xml:space="preserve">Cycling</w:t>
      </w:r>
      <w:r>
        <w:t xml:space="preserve"> </w:t>
      </w:r>
      <w:r>
        <w:t xml:space="preserve">in</w:t>
      </w:r>
      <w:r>
        <w:t xml:space="preserve"> </w:t>
      </w:r>
      <w:r>
        <w:t xml:space="preserve">Ireland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Methodology</w:t>
      </w:r>
      <w:r>
        <w:t xml:space="preserve"> </w:t>
      </w:r>
      <w:r>
        <w:t xml:space="preserve">to</w:t>
      </w:r>
      <w:r>
        <w:t xml:space="preserve"> </w:t>
      </w:r>
      <w:r>
        <w:t xml:space="preserve">Support</w:t>
      </w:r>
      <w:r>
        <w:t xml:space="preserve"> </w:t>
      </w:r>
      <w:r>
        <w:t xml:space="preserve">Active</w:t>
      </w:r>
      <w:r>
        <w:t xml:space="preserve"> </w:t>
      </w:r>
      <w:r>
        <w:t xml:space="preserve">Travel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Transport is a major contributor to climate change, premature death due to road traffic collisions and air pollution, yet has the potential to be a major contributor to decarbonization and improved public health.</w:t>
      </w:r>
      <w:r>
        <w:t xml:space="preserve"> </w:t>
      </w:r>
      <w:r>
        <w:t xml:space="preserve">Transport is responsible for 23% of global emissions, 70% of which is from road transport, nearly half of which is from passenger cars</w:t>
      </w:r>
      <w:r>
        <w:t xml:space="preserve"> </w:t>
      </w:r>
      <w:r>
        <w:t xml:space="preserve">(Jaramillo et al., 2022)</w:t>
      </w:r>
      <w:r>
        <w:t xml:space="preserve">.</w:t>
      </w:r>
      <w:r>
        <w:t xml:space="preserve"> </w:t>
      </w:r>
      <w:r>
        <w:t xml:space="preserve">The transport system encourages, enables and in some cases enforces unsustainable lifestyles, including over-consumption of goods due to excessive mobile storage space and dependency on services that are only accessible by car due to land use plans that have built up around roads</w:t>
      </w:r>
      <w:r>
        <w:t xml:space="preserve"> </w:t>
      </w:r>
      <w:r>
        <w:t xml:space="preserve">(Gray et al., 2001; Motte-baumvol et al., 2010; Shergold et al., 2012)</w:t>
      </w:r>
      <w:r>
        <w:t xml:space="preserve">.</w:t>
      </w:r>
    </w:p>
    <w:p>
      <w:pPr>
        <w:pStyle w:val="BodyText"/>
      </w:pPr>
      <w:r>
        <w:t xml:space="preserve">Recognizing the impacts of poorly designed and performing transport systems on their citizens, governments in many countries have set targets and taken actions and set targets.</w:t>
      </w:r>
      <w:r>
        <w:t xml:space="preserve"> </w:t>
      </w:r>
      <w:r>
        <w:t xml:space="preserve">In the context of climate, road safety and physicial inactivity crises, policies to improve transport systems can be classified according to the</w:t>
      </w:r>
      <w:r>
        <w:t xml:space="preserve"> </w:t>
      </w:r>
      <w:r>
        <w:t xml:space="preserve">‘</w:t>
      </w:r>
      <w:r>
        <w:t xml:space="preserve">Avoid-Shift-Improve</w:t>
      </w:r>
      <w:r>
        <w:t xml:space="preserve">’</w:t>
      </w:r>
      <w:r>
        <w:t xml:space="preserve"> </w:t>
      </w:r>
      <w:r>
        <w:t xml:space="preserve">(ASI) framework</w:t>
      </w:r>
      <w:r>
        <w:t xml:space="preserve"> </w:t>
      </w:r>
      <w:r>
        <w:t xml:space="preserve">(Jaramillo et al., 2022)</w:t>
      </w:r>
      <w:r>
        <w:t xml:space="preserve">.</w:t>
      </w:r>
      <w:r>
        <w:t xml:space="preserve"> </w:t>
      </w:r>
      <w:r>
        <w:t xml:space="preserve">The framework highlights the importance of demand reduction (</w:t>
      </w:r>
      <w:r>
        <w:rPr>
          <w:iCs/>
          <w:i/>
        </w:rPr>
        <w:t xml:space="preserve">avoid</w:t>
      </w:r>
      <w:r>
        <w:t xml:space="preserve">ing unnecessary trips), in addition to mode</w:t>
      </w:r>
      <w:r>
        <w:t xml:space="preserve"> </w:t>
      </w:r>
      <w:r>
        <w:rPr>
          <w:iCs/>
          <w:i/>
        </w:rPr>
        <w:t xml:space="preserve">shift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improvement</w:t>
      </w:r>
      <w:r>
        <w:t xml:space="preserve"> </w:t>
      </w:r>
      <w:r>
        <w:t xml:space="preserve">of existing energy converters, in that order.</w:t>
      </w:r>
    </w:p>
    <w:p>
      <w:pPr>
        <w:pStyle w:val="BodyText"/>
      </w:pPr>
      <w:r>
        <w:t xml:space="preserve">Uptake of cycling, the main topic of this paper, should be seen in this broader context of transport decarbonisation.</w:t>
      </w:r>
      <w:r>
        <w:t xml:space="preserve"> </w:t>
      </w:r>
      <w:r>
        <w:t xml:space="preserve">Although cycling uptake appears on the surface to only relate to the</w:t>
      </w:r>
      <w:r>
        <w:t xml:space="preserve"> </w:t>
      </w:r>
      <w:r>
        <w:t xml:space="preserve">‘</w:t>
      </w:r>
      <w:r>
        <w:t xml:space="preserve">shift</w:t>
      </w:r>
      <w:r>
        <w:t xml:space="preserve">’</w:t>
      </w:r>
      <w:r>
        <w:t xml:space="preserve"> </w:t>
      </w:r>
      <w:r>
        <w:t xml:space="preserve">part of the ASI framework, closer consideration of the knock-on impacts of cycling uptake shows that it can also help avoid unnecessary trips [citation needed, any ideas Hussein?]</w:t>
      </w:r>
      <w:r>
        <w:t xml:space="preserve"> </w:t>
      </w:r>
      <w:r>
        <w:t xml:space="preserve">.</w:t>
      </w:r>
      <w:r>
        <w:t xml:space="preserve"> </w:t>
      </w:r>
      <w:r>
        <w:t xml:space="preserve">The rapid uptake of highly efficient e-bikes can also be seen as an improvement on most electric vehicles, which are too heavy and expensive to be a sustainable alternative and could in fact delay the transition away from car dependency [citation needed].</w:t>
      </w:r>
    </w:p>
    <w:p>
      <w:pPr>
        <w:pStyle w:val="BodyText"/>
      </w:pPr>
      <w:r>
        <w:t xml:space="preserve">At the European Union level …</w:t>
      </w:r>
    </w:p>
    <w:p>
      <w:pPr>
        <w:pStyle w:val="BodyText"/>
      </w:pPr>
      <w:r>
        <w:t xml:space="preserve">In Ireland…</w:t>
      </w:r>
    </w:p>
    <w:p>
      <w:pPr>
        <w:pStyle w:val="BodyText"/>
      </w:pPr>
      <w:r>
        <w:t xml:space="preserve">[Gary, Suzanne, others input here please.]</w:t>
      </w:r>
    </w:p>
    <w:bookmarkEnd w:id="20"/>
    <w:bookmarkStart w:id="21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Commute and school travel</w:t>
      </w:r>
    </w:p>
    <w:p>
      <w:pPr>
        <w:pStyle w:val="BodyText"/>
      </w:pPr>
      <w:r>
        <w:t xml:space="preserve">Other trip purposes</w:t>
      </w:r>
    </w:p>
    <w:p>
      <w:pPr>
        <w:pStyle w:val="BodyText"/>
      </w:pPr>
      <w:r>
        <w:t xml:space="preserve">[Joey please add your bit here.]</w:t>
      </w:r>
    </w:p>
    <w:p>
      <w:pPr>
        <w:pStyle w:val="BodyText"/>
      </w:pPr>
      <w:r>
        <w:t xml:space="preserve">Bit on Jittering</w:t>
      </w:r>
      <w:r>
        <w:t xml:space="preserve"> </w:t>
      </w:r>
      <w:r>
        <w:t xml:space="preserve">(Lovelace et al., 2022)</w:t>
      </w:r>
    </w:p>
    <w:bookmarkEnd w:id="21"/>
    <w:bookmarkStart w:id="22" w:name="results"/>
    <w:p>
      <w:pPr>
        <w:pStyle w:val="Heading1"/>
      </w:pPr>
      <w:r>
        <w:t xml:space="preserve">3. Results</w:t>
      </w:r>
    </w:p>
    <w:bookmarkEnd w:id="22"/>
    <w:bookmarkStart w:id="23" w:name="discussion"/>
    <w:p>
      <w:pPr>
        <w:pStyle w:val="Heading1"/>
      </w:pPr>
      <w:r>
        <w:t xml:space="preserve">4. Discussion</w:t>
      </w:r>
    </w:p>
    <w:bookmarkEnd w:id="23"/>
    <w:bookmarkStart w:id="24" w:name="conclusions"/>
    <w:p>
      <w:pPr>
        <w:pStyle w:val="Heading1"/>
      </w:pPr>
      <w:r>
        <w:t xml:space="preserve">5. Conclusions</w:t>
      </w:r>
    </w:p>
    <w:bookmarkEnd w:id="24"/>
    <w:bookmarkStart w:id="25" w:name="list-of-abbreviations"/>
    <w:p>
      <w:pPr>
        <w:pStyle w:val="Heading1"/>
      </w:pPr>
      <w:r>
        <w:t xml:space="preserve">6. List of abbreviations</w:t>
      </w:r>
    </w:p>
    <w:bookmarkEnd w:id="25"/>
    <w:bookmarkStart w:id="31" w:name="declarations"/>
    <w:p>
      <w:pPr>
        <w:pStyle w:val="Heading1"/>
      </w:pPr>
      <w:r>
        <w:t xml:space="preserve">7. Declarations</w:t>
      </w:r>
    </w:p>
    <w:bookmarkStart w:id="26" w:name="availability-of-data-and-material"/>
    <w:p>
      <w:pPr>
        <w:pStyle w:val="Heading2"/>
      </w:pPr>
      <w:r>
        <w:t xml:space="preserve">Availability of data and material</w:t>
      </w:r>
    </w:p>
    <w:bookmarkEnd w:id="26"/>
    <w:bookmarkStart w:id="27" w:name="funding"/>
    <w:p>
      <w:pPr>
        <w:pStyle w:val="Heading2"/>
      </w:pPr>
      <w:r>
        <w:t xml:space="preserve">Funding</w:t>
      </w:r>
    </w:p>
    <w:bookmarkEnd w:id="27"/>
    <w:bookmarkStart w:id="28" w:name="acknowledgements"/>
    <w:p>
      <w:pPr>
        <w:pStyle w:val="Heading2"/>
      </w:pPr>
      <w:r>
        <w:t xml:space="preserve">Acknowledgements</w:t>
      </w:r>
    </w:p>
    <w:bookmarkEnd w:id="28"/>
    <w:bookmarkStart w:id="29" w:name="competing-interests"/>
    <w:p>
      <w:pPr>
        <w:pStyle w:val="Heading2"/>
      </w:pPr>
      <w:r>
        <w:t xml:space="preserve">Competing interests</w:t>
      </w:r>
    </w:p>
    <w:bookmarkEnd w:id="29"/>
    <w:bookmarkStart w:id="30" w:name="authors-contributions"/>
    <w:p>
      <w:pPr>
        <w:pStyle w:val="Heading2"/>
      </w:pPr>
      <w:r>
        <w:t xml:space="preserve">Authors’ contributions</w:t>
      </w:r>
    </w:p>
    <w:bookmarkEnd w:id="30"/>
    <w:bookmarkEnd w:id="31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3" w:name="ref-gray2001"/>
    <w:p>
      <w:pPr>
        <w:pStyle w:val="Bibliography"/>
      </w:pPr>
      <w:r>
        <w:t xml:space="preserve">Gray, D., Farrington, J., Shaw, J., Martin, S., &amp; Roberts, D. (2001). Car dependence in rural scotland: Transport policy, devolution and the impact of the fuel duty escalator.</w:t>
      </w:r>
      <w:r>
        <w:t xml:space="preserve"> </w:t>
      </w:r>
      <w:r>
        <w:rPr>
          <w:iCs/>
          <w:i/>
        </w:rPr>
        <w:t xml:space="preserve">Journal of Rural Studies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(1), 113125.</w:t>
      </w:r>
      <w:r>
        <w:t xml:space="preserve"> </w:t>
      </w:r>
      <w:hyperlink r:id="rId32">
        <w:r>
          <w:rPr>
            <w:rStyle w:val="Hyperlink"/>
          </w:rPr>
          <w:t xml:space="preserve">https://doi.org/10.1016/S0743-0167(00)00035-8</w:t>
        </w:r>
      </w:hyperlink>
    </w:p>
    <w:bookmarkEnd w:id="33"/>
    <w:bookmarkStart w:id="35" w:name="ref-jaramillo2022"/>
    <w:p>
      <w:pPr>
        <w:pStyle w:val="Bibliography"/>
      </w:pPr>
      <w:r>
        <w:t xml:space="preserve">Jaramillo, P., Kahn Ribeiro, S., Newman, P., Dhar, S., Diemuodeke, O. E., Kajino, T., Lee, D. S., Nugroho, S. B., Ou, X., Hammer Strømman, A., &amp; Whitehead, J. (2022).</w:t>
      </w:r>
      <w:r>
        <w:t xml:space="preserve"> </w:t>
      </w:r>
      <w:r>
        <w:rPr>
          <w:iCs/>
          <w:i/>
        </w:rPr>
        <w:t xml:space="preserve">Transport</w:t>
      </w:r>
      <w:r>
        <w:t xml:space="preserve"> </w:t>
      </w:r>
      <w:r>
        <w:t xml:space="preserve">(P. R. Shukla, J. Skea, R. Slade, A. A. Khourdajie, R. van Diemen, D. McCollum, M. Pathak, S. Some, P. Vyas, R. Fradera, M. Belkacemi, A. Hasija, G. Lisboa, S. Luz, &amp; J. Malley, Eds.). Cambridge University Press.</w:t>
      </w:r>
      <w:r>
        <w:t xml:space="preserve"> </w:t>
      </w:r>
      <w:hyperlink r:id="rId34">
        <w:r>
          <w:rPr>
            <w:rStyle w:val="Hyperlink"/>
          </w:rPr>
          <w:t xml:space="preserve">https://www.ipcc.ch/report/ar6/wg3/downloads/report/IPCC_AR6_WGIII_Chapter10.pdf</w:t>
        </w:r>
      </w:hyperlink>
    </w:p>
    <w:bookmarkEnd w:id="35"/>
    <w:bookmarkStart w:id="37" w:name="ref-lovelace2022"/>
    <w:p>
      <w:pPr>
        <w:pStyle w:val="Bibliography"/>
      </w:pPr>
      <w:r>
        <w:t xml:space="preserve">Lovelace, R., Félix, R., &amp; Carlino, D. (2022). Jittering: A Computationally Efficient Method for Generating Realistic Route Networks from Origin-Destination Data.</w:t>
      </w:r>
      <w:r>
        <w:t xml:space="preserve"> </w:t>
      </w:r>
      <w:r>
        <w:rPr>
          <w:iCs/>
          <w:i/>
        </w:rPr>
        <w:t xml:space="preserve">Findings</w:t>
      </w:r>
      <w:r>
        <w:t xml:space="preserve">, 33873.</w:t>
      </w:r>
      <w:r>
        <w:t xml:space="preserve"> </w:t>
      </w:r>
      <w:hyperlink r:id="rId36">
        <w:r>
          <w:rPr>
            <w:rStyle w:val="Hyperlink"/>
          </w:rPr>
          <w:t xml:space="preserve">https://doi.org/10.32866/001c.33873</w:t>
        </w:r>
      </w:hyperlink>
    </w:p>
    <w:bookmarkEnd w:id="37"/>
    <w:bookmarkStart w:id="39" w:name="ref-motte-baumvol2010"/>
    <w:p>
      <w:pPr>
        <w:pStyle w:val="Bibliography"/>
      </w:pPr>
      <w:r>
        <w:t xml:space="preserve">Motte-baumvol, B., Massot, M.-H. M. M.-H., &amp; Byrd, A. M. A. A. M. (2010). Escaping car dependence in the outer suburbs of paris.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(3), 604619.</w:t>
      </w:r>
      <w:r>
        <w:t xml:space="preserve"> </w:t>
      </w:r>
      <w:hyperlink r:id="rId38">
        <w:r>
          <w:rPr>
            <w:rStyle w:val="Hyperlink"/>
          </w:rPr>
          <w:t xml:space="preserve">https://doi.org/10.1177/0042098009349773</w:t>
        </w:r>
      </w:hyperlink>
    </w:p>
    <w:bookmarkEnd w:id="39"/>
    <w:bookmarkStart w:id="40" w:name="ref-shergold2012"/>
    <w:p>
      <w:pPr>
        <w:pStyle w:val="Bibliography"/>
      </w:pPr>
      <w:r>
        <w:t xml:space="preserve">Shergold, I., Parkhurst, G., &amp; Musselwhite, C. (2012). Rural car dependence: An emerging barrier to community activity for older people.</w:t>
      </w:r>
      <w:r>
        <w:t xml:space="preserve"> </w:t>
      </w:r>
      <w:r>
        <w:rPr>
          <w:iCs/>
          <w:i/>
        </w:rPr>
        <w:t xml:space="preserve">Transportation Planning and Technology</w:t>
      </w:r>
      <w:r>
        <w:t xml:space="preserve">,</w:t>
      </w:r>
      <w:r>
        <w:t xml:space="preserve"> </w:t>
      </w:r>
      <w:r>
        <w:rPr>
          <w:iCs/>
          <w:i/>
        </w:rPr>
        <w:t xml:space="preserve">35</w:t>
      </w:r>
      <w:r>
        <w:t xml:space="preserve">(1), 6985.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16/S0743-0167(00)00035-8" TargetMode="External" /><Relationship Type="http://schemas.openxmlformats.org/officeDocument/2006/relationships/hyperlink" Id="rId38" Target="https://doi.org/10.1177/0042098009349773" TargetMode="External" /><Relationship Type="http://schemas.openxmlformats.org/officeDocument/2006/relationships/hyperlink" Id="rId36" Target="https://doi.org/10.32866/001c.33873" TargetMode="External" /><Relationship Type="http://schemas.openxmlformats.org/officeDocument/2006/relationships/hyperlink" Id="rId34" Target="https://www.ipcc.ch/report/ar6/wg3/downloads/report/IPCC_AR6_WGIII_Chapter1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16/S0743-0167(00)00035-8" TargetMode="External" /><Relationship Type="http://schemas.openxmlformats.org/officeDocument/2006/relationships/hyperlink" Id="rId38" Target="https://doi.org/10.1177/0042098009349773" TargetMode="External" /><Relationship Type="http://schemas.openxmlformats.org/officeDocument/2006/relationships/hyperlink" Id="rId36" Target="https://doi.org/10.32866/001c.33873" TargetMode="External" /><Relationship Type="http://schemas.openxmlformats.org/officeDocument/2006/relationships/hyperlink" Id="rId34" Target="https://www.ipcc.ch/report/ar6/wg3/downloads/report/IPCC_AR6_WGIII_Chapter1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CRUSE to Safe Cycling in Ireland</dc:title>
  <dc:creator/>
  <cp:keywords/>
  <dcterms:created xsi:type="dcterms:W3CDTF">2023-09-13T09:57:31Z</dcterms:created>
  <dcterms:modified xsi:type="dcterms:W3CDTF">2023-09-13T09:57:31Z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Open Source Methodology to Support Active Travel</vt:lpwstr>
  </property>
  <property fmtid="{D5CDD505-2E9C-101B-9397-08002B2CF9AE}" pid="10" name="toc-title">
    <vt:lpwstr>Table of contents</vt:lpwstr>
  </property>
</Properties>
</file>