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  <w:jc w:val="center"/>
      </w:pPr>
      <w:r>
        <w:t>FieldOps Dashboard</w:t>
        <w:br/>
        <w:t>Engineering Backlog v1.0</w:t>
        <w:br/>
        <w:t>Part 3 – Advanced Capabilities</w:t>
      </w:r>
    </w:p>
    <w:p>
      <w:r>
        <w:t>Document ID: EB-v1.0-P3</w:t>
        <w:br/>
        <w:t>Status: Draft Baseline</w:t>
        <w:br/>
        <w:t>This volume defines the advanced capabilities that build upon the core platform.</w:t>
      </w:r>
    </w:p>
    <w:p>
      <w:pPr>
        <w:pStyle w:val="Heading1"/>
      </w:pPr>
      <w:r>
        <w:t>E8 – Propagation &amp; RF Tools</w:t>
      </w:r>
    </w:p>
    <w:p>
      <w:r>
        <w:t>Objective: Deliver the propagation &amp; rf tools subsystem in accordance with the approved architecture and roadmap.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Implements documented architecture.</w:t>
      </w:r>
    </w:p>
    <w:p>
      <w:pPr>
        <w:pStyle w:val="ListBullet"/>
      </w:pPr>
      <w:r>
        <w:t>Integrates with shared telemetry model.</w:t>
      </w:r>
    </w:p>
    <w:p>
      <w:pPr>
        <w:pStyle w:val="ListBullet"/>
      </w:pPr>
      <w:r>
        <w:t>Meets reliability objectives.</w:t>
      </w:r>
    </w:p>
    <w:p>
      <w:pPr>
        <w:pStyle w:val="ListBullet"/>
      </w:pPr>
      <w:r>
        <w:t>Includes automated and/or field validation before completion.</w:t>
      </w:r>
    </w:p>
    <w:p>
      <w:pPr>
        <w:pStyle w:val="Heading2"/>
      </w:pPr>
      <w:r>
        <w:t>Implementation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Estimate</w:t>
            </w:r>
          </w:p>
        </w:tc>
        <w:tc>
          <w:tcPr>
            <w:tcW w:type="dxa" w:w="1234"/>
          </w:tcPr>
          <w:p>
            <w:r>
              <w:t>Dependencies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Acceptance</w:t>
            </w:r>
          </w:p>
        </w:tc>
      </w:tr>
      <w:tr>
        <w:tc>
          <w:tcPr>
            <w:tcW w:type="dxa" w:w="1234"/>
          </w:tcPr>
          <w:p>
            <w:r>
              <w:t>E8-001</w:t>
            </w:r>
          </w:p>
        </w:tc>
        <w:tc>
          <w:tcPr>
            <w:tcW w:type="dxa" w:w="1234"/>
          </w:tcPr>
          <w:p>
            <w:r>
              <w:t>Propagation Provider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E1–E7 Complete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E8-002</w:t>
            </w:r>
          </w:p>
        </w:tc>
        <w:tc>
          <w:tcPr>
            <w:tcW w:type="dxa" w:w="1234"/>
          </w:tcPr>
          <w:p>
            <w:r>
              <w:t>Band Conditions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E1–E7 Complete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E8-003</w:t>
            </w:r>
          </w:p>
        </w:tc>
        <w:tc>
          <w:tcPr>
            <w:tcW w:type="dxa" w:w="1234"/>
          </w:tcPr>
          <w:p>
            <w:r>
              <w:t>VOACAP Integration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E1–E7 Complete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E8-004</w:t>
            </w:r>
          </w:p>
        </w:tc>
        <w:tc>
          <w:tcPr>
            <w:tcW w:type="dxa" w:w="1234"/>
          </w:tcPr>
          <w:p>
            <w:r>
              <w:t>Grayline Support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E1–E7 Complete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E8-005</w:t>
            </w:r>
          </w:p>
        </w:tc>
        <w:tc>
          <w:tcPr>
            <w:tcW w:type="dxa" w:w="1234"/>
          </w:tcPr>
          <w:p>
            <w:r>
              <w:t>Solar Data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E1–E7 Complete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E8-006</w:t>
            </w:r>
          </w:p>
        </w:tc>
        <w:tc>
          <w:tcPr>
            <w:tcW w:type="dxa" w:w="1234"/>
          </w:tcPr>
          <w:p>
            <w:r>
              <w:t>Space Weather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E1–E7 Complete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Future work â€” replace KC2G HTML scraping with the supported stations.json source and expose authoritative ionosonde measurement timestamps rather than request time.</w:t>
            </w:r>
          </w:p>
        </w:tc>
      </w:tr>
      <w:tr>
        <w:tc>
          <w:tcPr>
            <w:tcW w:type="dxa" w:w="1234"/>
          </w:tcPr>
          <w:p>
            <w:r>
              <w:t>E8-007</w:t>
            </w:r>
          </w:p>
        </w:tc>
        <w:tc>
          <w:tcPr>
            <w:tcW w:type="dxa" w:w="1234"/>
          </w:tcPr>
          <w:p>
            <w:r>
              <w:t>RF Calculator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E1–E7 Complete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E8-008</w:t>
            </w:r>
          </w:p>
        </w:tc>
        <w:tc>
          <w:tcPr>
            <w:tcW w:type="dxa" w:w="1234"/>
          </w:tcPr>
          <w:p>
            <w:r>
              <w:t>Antenna Tools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E1–E7 Complete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E8-009</w:t>
            </w:r>
          </w:p>
        </w:tc>
        <w:tc>
          <w:tcPr>
            <w:tcW w:type="dxa" w:w="1234"/>
          </w:tcPr>
          <w:p>
            <w:r>
              <w:t>Caching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E1–E7 Complete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Future work â€” use source-specific polling and cache intervals based on upstream cadence, rate limits, freshness, failure behavior, battery cost, and field-network constraints.</w:t>
            </w:r>
          </w:p>
        </w:tc>
      </w:tr>
      <w:tr>
        <w:tc>
          <w:tcPr>
            <w:tcW w:type="dxa" w:w="1234"/>
          </w:tcPr>
          <w:p>
            <w:r>
              <w:t>E8-010</w:t>
            </w:r>
          </w:p>
        </w:tc>
        <w:tc>
          <w:tcPr>
            <w:tcW w:type="dxa" w:w="1234"/>
          </w:tcPr>
          <w:p>
            <w:r>
              <w:t>Testing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E1–E7 Complete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</w:tbl>
    <w:p>
      <w:pPr>
        <w:pStyle w:val="Heading1"/>
      </w:pPr>
      <w:r>
        <w:t>E9 – Configuration &amp; Persistence</w:t>
      </w:r>
    </w:p>
    <w:p>
      <w:r>
        <w:t>Objective: Deliver the configuration &amp; persistence subsystem in accordance with the approved architecture and roadmap.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Implements documented architecture.</w:t>
      </w:r>
    </w:p>
    <w:p>
      <w:pPr>
        <w:pStyle w:val="ListBullet"/>
      </w:pPr>
      <w:r>
        <w:t>Integrates with shared telemetry model.</w:t>
      </w:r>
    </w:p>
    <w:p>
      <w:pPr>
        <w:pStyle w:val="ListBullet"/>
      </w:pPr>
      <w:r>
        <w:t>Meets reliability objectives.</w:t>
      </w:r>
    </w:p>
    <w:p>
      <w:pPr>
        <w:pStyle w:val="ListBullet"/>
      </w:pPr>
      <w:r>
        <w:t>Includes automated and/or field validation before completion.</w:t>
      </w:r>
    </w:p>
    <w:p>
      <w:pPr>
        <w:pStyle w:val="Heading2"/>
      </w:pPr>
      <w:r>
        <w:t>Implementation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Estimate</w:t>
            </w:r>
          </w:p>
        </w:tc>
        <w:tc>
          <w:tcPr>
            <w:tcW w:type="dxa" w:w="1234"/>
          </w:tcPr>
          <w:p>
            <w:r>
              <w:t>Dependencies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Acceptance</w:t>
            </w:r>
          </w:p>
        </w:tc>
      </w:tr>
      <w:tr>
        <w:tc>
          <w:tcPr>
            <w:tcW w:type="dxa" w:w="1234"/>
          </w:tcPr>
          <w:p>
            <w:r>
              <w:t>E9-001</w:t>
            </w:r>
          </w:p>
        </w:tc>
        <w:tc>
          <w:tcPr>
            <w:tcW w:type="dxa" w:w="1234"/>
          </w:tcPr>
          <w:p>
            <w:r>
              <w:t>Configuration Model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E9-002</w:t>
            </w:r>
          </w:p>
        </w:tc>
        <w:tc>
          <w:tcPr>
            <w:tcW w:type="dxa" w:w="1234"/>
          </w:tcPr>
          <w:p>
            <w:r>
              <w:t>Profile Manager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E9-003</w:t>
            </w:r>
          </w:p>
        </w:tc>
        <w:tc>
          <w:tcPr>
            <w:tcW w:type="dxa" w:w="1234"/>
          </w:tcPr>
          <w:p>
            <w:r>
              <w:t>SQLite Persistence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E9-004</w:t>
            </w:r>
          </w:p>
        </w:tc>
        <w:tc>
          <w:tcPr>
            <w:tcW w:type="dxa" w:w="1234"/>
          </w:tcPr>
          <w:p>
            <w:r>
              <w:t>Schema Migration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E9-005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E9-006</w:t>
            </w:r>
          </w:p>
        </w:tc>
        <w:tc>
          <w:tcPr>
            <w:tcW w:type="dxa" w:w="1234"/>
          </w:tcPr>
          <w:p>
            <w:r>
              <w:t>Restore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E9-007</w:t>
            </w:r>
          </w:p>
        </w:tc>
        <w:tc>
          <w:tcPr>
            <w:tcW w:type="dxa" w:w="1234"/>
          </w:tcPr>
          <w:p>
            <w:r>
              <w:t>Import/Export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E9-008</w:t>
            </w:r>
          </w:p>
        </w:tc>
        <w:tc>
          <w:tcPr>
            <w:tcW w:type="dxa" w:w="1234"/>
          </w:tcPr>
          <w:p>
            <w:r>
              <w:t>Preferences UI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E9-009</w:t>
            </w:r>
          </w:p>
        </w:tc>
        <w:tc>
          <w:tcPr>
            <w:tcW w:type="dxa" w:w="1234"/>
          </w:tcPr>
          <w:p>
            <w:r>
              <w:t>Encryption Hooks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E9-010</w:t>
            </w:r>
          </w:p>
        </w:tc>
        <w:tc>
          <w:tcPr>
            <w:tcW w:type="dxa" w:w="1234"/>
          </w:tcPr>
          <w:p>
            <w:r>
              <w:t>Testing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</w:tbl>
    <w:p>
      <w:pPr>
        <w:pStyle w:val="Heading1"/>
      </w:pPr>
      <w:r>
        <w:t>E10 – AI Assistant</w:t>
      </w:r>
    </w:p>
    <w:p>
      <w:r>
        <w:t>Objective: Deliver the ai assistant subsystem in accordance with the approved architecture and roadmap.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Implements documented architecture.</w:t>
      </w:r>
    </w:p>
    <w:p>
      <w:pPr>
        <w:pStyle w:val="ListBullet"/>
      </w:pPr>
      <w:r>
        <w:t>Integrates with shared telemetry model.</w:t>
      </w:r>
    </w:p>
    <w:p>
      <w:pPr>
        <w:pStyle w:val="ListBullet"/>
      </w:pPr>
      <w:r>
        <w:t>Meets reliability objectives.</w:t>
      </w:r>
    </w:p>
    <w:p>
      <w:pPr>
        <w:pStyle w:val="ListBullet"/>
      </w:pPr>
      <w:r>
        <w:t>Includes automated and/or field validation before completion.</w:t>
      </w:r>
    </w:p>
    <w:p>
      <w:pPr>
        <w:pStyle w:val="Heading2"/>
      </w:pPr>
      <w:r>
        <w:t>Implementation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Estimate</w:t>
            </w:r>
          </w:p>
        </w:tc>
        <w:tc>
          <w:tcPr>
            <w:tcW w:type="dxa" w:w="1234"/>
          </w:tcPr>
          <w:p>
            <w:r>
              <w:t>Dependencies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Acceptance</w:t>
            </w:r>
          </w:p>
        </w:tc>
      </w:tr>
      <w:tr>
        <w:tc>
          <w:tcPr>
            <w:tcW w:type="dxa" w:w="1234"/>
          </w:tcPr>
          <w:p>
            <w:r>
              <w:t>E10-001</w:t>
            </w:r>
          </w:p>
        </w:tc>
        <w:tc>
          <w:tcPr>
            <w:tcW w:type="dxa" w:w="1234"/>
          </w:tcPr>
          <w:p>
            <w:r>
              <w:t>Context Engine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E10-002</w:t>
            </w:r>
          </w:p>
        </w:tc>
        <w:tc>
          <w:tcPr>
            <w:tcW w:type="dxa" w:w="1234"/>
          </w:tcPr>
          <w:p>
            <w:r>
              <w:t>Recommendation Service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E10-003</w:t>
            </w:r>
          </w:p>
        </w:tc>
        <w:tc>
          <w:tcPr>
            <w:tcW w:type="dxa" w:w="1234"/>
          </w:tcPr>
          <w:p>
            <w:r>
              <w:t>Field Advisor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E10-004</w:t>
            </w:r>
          </w:p>
        </w:tc>
        <w:tc>
          <w:tcPr>
            <w:tcW w:type="dxa" w:w="1234"/>
          </w:tcPr>
          <w:p>
            <w:r>
              <w:t>Operational Alerts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E10-005</w:t>
            </w:r>
          </w:p>
        </w:tc>
        <w:tc>
          <w:tcPr>
            <w:tcW w:type="dxa" w:w="1234"/>
          </w:tcPr>
          <w:p>
            <w:r>
              <w:t>Conversation Memory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E10-006</w:t>
            </w:r>
          </w:p>
        </w:tc>
        <w:tc>
          <w:tcPr>
            <w:tcW w:type="dxa" w:w="1234"/>
          </w:tcPr>
          <w:p>
            <w:r>
              <w:t>Safety Rules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E10-007</w:t>
            </w:r>
          </w:p>
        </w:tc>
        <w:tc>
          <w:tcPr>
            <w:tcW w:type="dxa" w:w="1234"/>
          </w:tcPr>
          <w:p>
            <w:r>
              <w:t>Prompt Templates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E10-008</w:t>
            </w:r>
          </w:p>
        </w:tc>
        <w:tc>
          <w:tcPr>
            <w:tcW w:type="dxa" w:w="1234"/>
          </w:tcPr>
          <w:p>
            <w:r>
              <w:t>Offline Fallback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E10-009</w:t>
            </w:r>
          </w:p>
        </w:tc>
        <w:tc>
          <w:tcPr>
            <w:tcW w:type="dxa" w:w="1234"/>
          </w:tcPr>
          <w:p>
            <w:r>
              <w:t>Telemetry Integration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E10-010</w:t>
            </w:r>
          </w:p>
        </w:tc>
        <w:tc>
          <w:tcPr>
            <w:tcW w:type="dxa" w:w="1234"/>
          </w:tcPr>
          <w:p>
            <w:r>
              <w:t>Testing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</w:tbl>
    <w:p>
      <w:pPr>
        <w:pStyle w:val="Heading1"/>
      </w:pPr>
      <w:r>
        <w:t>E11 – Release Engineering</w:t>
      </w:r>
    </w:p>
    <w:p>
      <w:r>
        <w:t>Objective: Deliver the release engineering subsystem in accordance with the approved architecture and roadmap.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Implements documented architecture.</w:t>
      </w:r>
    </w:p>
    <w:p>
      <w:pPr>
        <w:pStyle w:val="ListBullet"/>
      </w:pPr>
      <w:r>
        <w:t>Integrates with shared telemetry model.</w:t>
      </w:r>
    </w:p>
    <w:p>
      <w:pPr>
        <w:pStyle w:val="ListBullet"/>
      </w:pPr>
      <w:r>
        <w:t>Meets reliability objectives.</w:t>
      </w:r>
    </w:p>
    <w:p>
      <w:pPr>
        <w:pStyle w:val="ListBullet"/>
      </w:pPr>
      <w:r>
        <w:t>Includes automated and/or field validation before completion.</w:t>
      </w:r>
    </w:p>
    <w:p>
      <w:pPr>
        <w:pStyle w:val="Heading2"/>
      </w:pPr>
      <w:r>
        <w:t>Implementation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Estimate</w:t>
            </w:r>
          </w:p>
        </w:tc>
        <w:tc>
          <w:tcPr>
            <w:tcW w:type="dxa" w:w="1234"/>
          </w:tcPr>
          <w:p>
            <w:r>
              <w:t>Dependencies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Acceptance</w:t>
            </w:r>
          </w:p>
        </w:tc>
      </w:tr>
      <w:tr>
        <w:tc>
          <w:tcPr>
            <w:tcW w:type="dxa" w:w="1234"/>
          </w:tcPr>
          <w:p>
            <w:r>
              <w:t>E11-001</w:t>
            </w:r>
          </w:p>
        </w:tc>
        <w:tc>
          <w:tcPr>
            <w:tcW w:type="dxa" w:w="1234"/>
          </w:tcPr>
          <w:p>
            <w:r>
              <w:t>CI Pipeline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E11-002</w:t>
            </w:r>
          </w:p>
        </w:tc>
        <w:tc>
          <w:tcPr>
            <w:tcW w:type="dxa" w:w="1234"/>
          </w:tcPr>
          <w:p>
            <w:r>
              <w:t>Automated Builds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E11-003</w:t>
            </w:r>
          </w:p>
        </w:tc>
        <w:tc>
          <w:tcPr>
            <w:tcW w:type="dxa" w:w="1234"/>
          </w:tcPr>
          <w:p>
            <w:r>
              <w:t>Installer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E11-004</w:t>
            </w:r>
          </w:p>
        </w:tc>
        <w:tc>
          <w:tcPr>
            <w:tcW w:type="dxa" w:w="1234"/>
          </w:tcPr>
          <w:p>
            <w:r>
              <w:t>Version Management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E11-005</w:t>
            </w:r>
          </w:p>
        </w:tc>
        <w:tc>
          <w:tcPr>
            <w:tcW w:type="dxa" w:w="1234"/>
          </w:tcPr>
          <w:p>
            <w:r>
              <w:t>Update Service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E11-006</w:t>
            </w:r>
          </w:p>
        </w:tc>
        <w:tc>
          <w:tcPr>
            <w:tcW w:type="dxa" w:w="1234"/>
          </w:tcPr>
          <w:p>
            <w:r>
              <w:t>Rollback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E11-007</w:t>
            </w:r>
          </w:p>
        </w:tc>
        <w:tc>
          <w:tcPr>
            <w:tcW w:type="dxa" w:w="1234"/>
          </w:tcPr>
          <w:p>
            <w:r>
              <w:t>Release Notes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E11-008</w:t>
            </w:r>
          </w:p>
        </w:tc>
        <w:tc>
          <w:tcPr>
            <w:tcW w:type="dxa" w:w="1234"/>
          </w:tcPr>
          <w:p>
            <w:r>
              <w:t>Packaging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E11-009</w:t>
            </w:r>
          </w:p>
        </w:tc>
        <w:tc>
          <w:tcPr>
            <w:tcW w:type="dxa" w:w="1234"/>
          </w:tcPr>
          <w:p>
            <w:r>
              <w:t>Signing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E11-010</w:t>
            </w:r>
          </w:p>
        </w:tc>
        <w:tc>
          <w:tcPr>
            <w:tcW w:type="dxa" w:w="1234"/>
          </w:tcPr>
          <w:p>
            <w:r>
              <w:t>Testing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</w:tbl>
    <w:p>
      <w:pPr>
        <w:pStyle w:val="Heading1"/>
      </w:pPr>
      <w:r>
        <w:t>E12 – Quality Assurance &amp; Testing</w:t>
      </w:r>
    </w:p>
    <w:p>
      <w:r>
        <w:t>Objective: Deliver the quality assurance &amp; testing subsystem in accordance with the approved architecture and roadmap.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Implements documented architecture.</w:t>
      </w:r>
    </w:p>
    <w:p>
      <w:pPr>
        <w:pStyle w:val="ListBullet"/>
      </w:pPr>
      <w:r>
        <w:t>Integrates with shared telemetry model.</w:t>
      </w:r>
    </w:p>
    <w:p>
      <w:pPr>
        <w:pStyle w:val="ListBullet"/>
      </w:pPr>
      <w:r>
        <w:t>Meets reliability objectives.</w:t>
      </w:r>
    </w:p>
    <w:p>
      <w:pPr>
        <w:pStyle w:val="ListBullet"/>
      </w:pPr>
      <w:r>
        <w:t>Includes automated and/or field validation before completion.</w:t>
      </w:r>
    </w:p>
    <w:p>
      <w:pPr>
        <w:pStyle w:val="Heading2"/>
      </w:pPr>
      <w:r>
        <w:t>Implementation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Estimate</w:t>
            </w:r>
          </w:p>
        </w:tc>
        <w:tc>
          <w:tcPr>
            <w:tcW w:type="dxa" w:w="1234"/>
          </w:tcPr>
          <w:p>
            <w:r>
              <w:t>Dependencies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Acceptance</w:t>
            </w:r>
          </w:p>
        </w:tc>
      </w:tr>
      <w:tr>
        <w:tc>
          <w:tcPr>
            <w:tcW w:type="dxa" w:w="1234"/>
          </w:tcPr>
          <w:p>
            <w:r>
              <w:t>E12-001</w:t>
            </w:r>
          </w:p>
        </w:tc>
        <w:tc>
          <w:tcPr>
            <w:tcW w:type="dxa" w:w="1234"/>
          </w:tcPr>
          <w:p>
            <w:r>
              <w:t>Unit Tests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E12-002</w:t>
            </w:r>
          </w:p>
        </w:tc>
        <w:tc>
          <w:tcPr>
            <w:tcW w:type="dxa" w:w="1234"/>
          </w:tcPr>
          <w:p>
            <w:r>
              <w:t>Integration Tests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E12-003</w:t>
            </w:r>
          </w:p>
        </w:tc>
        <w:tc>
          <w:tcPr>
            <w:tcW w:type="dxa" w:w="1234"/>
          </w:tcPr>
          <w:p>
            <w:r>
              <w:t>Regression Suite</w:t>
            </w:r>
          </w:p>
        </w:tc>
        <w:tc>
          <w:tcPr>
            <w:tcW w:type="dxa" w:w="1234"/>
          </w:tcPr>
          <w:p>
            <w:r>
              <w:t>P0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E12-004</w:t>
            </w:r>
          </w:p>
        </w:tc>
        <w:tc>
          <w:tcPr>
            <w:tcW w:type="dxa" w:w="1234"/>
          </w:tcPr>
          <w:p>
            <w:r>
              <w:t>Performance Tests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E12-005</w:t>
            </w:r>
          </w:p>
        </w:tc>
        <w:tc>
          <w:tcPr>
            <w:tcW w:type="dxa" w:w="1234"/>
          </w:tcPr>
          <w:p>
            <w:r>
              <w:t>Accessibility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E12-006</w:t>
            </w:r>
          </w:p>
        </w:tc>
        <w:tc>
          <w:tcPr>
            <w:tcW w:type="dxa" w:w="1234"/>
          </w:tcPr>
          <w:p>
            <w:r>
              <w:t>Offline Validation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E12-007</w:t>
            </w:r>
          </w:p>
        </w:tc>
        <w:tc>
          <w:tcPr>
            <w:tcW w:type="dxa" w:w="1234"/>
          </w:tcPr>
          <w:p>
            <w:r>
              <w:t>Field Acceptance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E12-008</w:t>
            </w:r>
          </w:p>
        </w:tc>
        <w:tc>
          <w:tcPr>
            <w:tcW w:type="dxa" w:w="1234"/>
          </w:tcPr>
          <w:p>
            <w:r>
              <w:t>Reliability Testing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E12-009</w:t>
            </w:r>
          </w:p>
        </w:tc>
        <w:tc>
          <w:tcPr>
            <w:tcW w:type="dxa" w:w="1234"/>
          </w:tcPr>
          <w:p>
            <w:r>
              <w:t>Release Validation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  <w:tr>
        <w:tc>
          <w:tcPr>
            <w:tcW w:type="dxa" w:w="1234"/>
          </w:tcPr>
          <w:p>
            <w:r>
              <w:t>E12-010</w:t>
            </w:r>
          </w:p>
        </w:tc>
        <w:tc>
          <w:tcPr>
            <w:tcW w:type="dxa" w:w="1234"/>
          </w:tcPr>
          <w:p>
            <w:r>
              <w:t>Metrics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Prior Epics</w:t>
            </w:r>
          </w:p>
        </w:tc>
        <w:tc>
          <w:tcPr>
            <w:tcW w:type="dxa" w:w="1234"/>
          </w:tcPr>
          <w:p>
            <w:r>
              <w:t>See Roadmap</w:t>
            </w:r>
          </w:p>
        </w:tc>
        <w:tc>
          <w:tcPr>
            <w:tcW w:type="dxa" w:w="1234"/>
          </w:tcPr>
          <w:p>
            <w:r>
              <w:t>Implemented, verified, documented</w:t>
            </w:r>
          </w:p>
        </w:tc>
      </w:tr>
    </w:tbl>
    <w:p>
      <w:pPr>
        <w:pStyle w:val="Heading1"/>
      </w:pPr>
      <w:r>
        <w:t>Advanced Capability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Depends On</w:t>
            </w:r>
          </w:p>
        </w:tc>
      </w:tr>
      <w:tr>
        <w:tc>
          <w:tcPr>
            <w:tcW w:type="dxa" w:w="4320"/>
          </w:tcPr>
          <w:p>
            <w:r>
              <w:t>Propagation</w:t>
            </w:r>
          </w:p>
        </w:tc>
        <w:tc>
          <w:tcPr>
            <w:tcW w:type="dxa" w:w="4320"/>
          </w:tcPr>
          <w:p>
            <w:r>
              <w:t>Telemetry, GPS, Weather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Local Agent, SQLite</w:t>
            </w:r>
          </w:p>
        </w:tc>
      </w:tr>
      <w:tr>
        <w:tc>
          <w:tcPr>
            <w:tcW w:type="dxa" w:w="4320"/>
          </w:tcPr>
          <w:p>
            <w:r>
              <w:t>AI Assistant</w:t>
            </w:r>
          </w:p>
        </w:tc>
        <w:tc>
          <w:tcPr>
            <w:tcW w:type="dxa" w:w="4320"/>
          </w:tcPr>
          <w:p>
            <w:r>
              <w:t>Telemetry, Configuration, SmartLog+</w:t>
            </w:r>
          </w:p>
        </w:tc>
      </w:tr>
      <w:tr>
        <w:tc>
          <w:tcPr>
            <w:tcW w:type="dxa" w:w="4320"/>
          </w:tcPr>
          <w:p>
            <w:r>
              <w:t>Release Engineering</w:t>
            </w:r>
          </w:p>
        </w:tc>
        <w:tc>
          <w:tcPr>
            <w:tcW w:type="dxa" w:w="4320"/>
          </w:tcPr>
          <w:p>
            <w:r>
              <w:t>All implementation epics</w:t>
            </w:r>
          </w:p>
        </w:tc>
      </w:tr>
      <w:tr>
        <w:tc>
          <w:tcPr>
            <w:tcW w:type="dxa" w:w="4320"/>
          </w:tcPr>
          <w:p>
            <w:r>
              <w:t>Quality Assurance</w:t>
            </w:r>
          </w:p>
        </w:tc>
        <w:tc>
          <w:tcPr>
            <w:tcW w:type="dxa" w:w="4320"/>
          </w:tcPr>
          <w:p>
            <w:r>
              <w:t>Entire application</w:t>
            </w:r>
          </w:p>
        </w:tc>
      </w:tr>
    </w:tbl>
    <w:p>
      <w:pPr>
        <w:pStyle w:val="Heading1"/>
      </w:pPr>
      <w:r>
        <w:t>Part 3 Completion</w:t>
      </w:r>
    </w:p>
    <w:p>
      <w:r>
        <w:t>Completion of Part 3 defines all implementation epics (E1–E12). Part 4 will provide project management artifacts including dependency matrix, requirements traceability, risk register, technical debt register, milestone tracking, and project dashboards.</w:t>
      </w:r>
    </w:p>
    <w:p>
      <w:pPr>
        <w:pStyle w:val="Heading 1"/>
      </w:pPr>
      <w:r>
        <w:t>2026 Rebaseline Addendum ? Advanced Capability Deferral</w:t>
      </w:r>
    </w:p>
    <w:p>
      <w:pPr>
        <w:pStyle w:val="Normal"/>
      </w:pPr>
      <w:r>
        <w:t>Version 2.3 is now the Single-Operator Field MVP. Advanced framework work remains valid future work but must not displace the active path to practical tray behavior, dashboard/agent integration, GNSS, Windows system telemetry, dependable deployment, and primary ToughBook/ToughPad validation.</w:t>
      </w:r>
    </w:p>
    <w:p>
      <w:pPr>
        <w:pStyle w:val="Heading 2"/>
      </w:pPr>
      <w:r>
        <w:t>Version 2.4 ? Field Tools</w:t>
      </w:r>
    </w:p>
    <w:p>
      <w:pPr>
        <w:pStyle w:val="Normal"/>
      </w:pPr>
      <w:r>
        <w:t>After the MVP, prioritize operator-facing Field Tools: workspace, coordinate conversion, Maidenhead, distance/bearing, SOTA/POTA helpers, sunrise/sunset/twilight, radio and antenna references, operating checklists, activation notes/quick logging, and offline reference caching.</w:t>
      </w:r>
    </w:p>
    <w:p>
      <w:pPr>
        <w:pStyle w:val="Heading 2"/>
      </w:pPr>
      <w:r>
        <w:t>Future Deployment and Enterprise Hardening</w:t>
      </w:r>
    </w:p>
    <w:p>
      <w:pPr>
        <w:pStyle w:val="Normal"/>
      </w:pPr>
      <w:r>
        <w:t>Move multi-user provisioning, separate-session support, Fast User Switching, RDP behavior, code-signing infrastructure, polished MSI/enterprise packaging, fleet deployment, centrally managed policy, advanced credential lifecycle, generalized privileged APIs, remote administration, and enterprise diagnostics to this explicit deferred/future category.</w:t>
      </w:r>
    </w:p>
    <w:p>
      <w:pPr>
        <w:pStyle w:val="Normal"/>
      </w:pPr>
      <w:r>
        <w:t>Existing task IDs and completed architecture remain traceable and are not erased or characterized as wasted. Active backlog admission requires operator value, trustworthiness or reliability benefit, direct near-term field dependency, current single-operator relevance, and proportionate effort.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