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Nginx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  <w:t>Apache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  <w:t>Lighttpd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  <w:t>Tomcat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A6E"/>
          <w:spacing w:val="0"/>
          <w:kern w:val="0"/>
          <w:sz w:val="28"/>
          <w:szCs w:val="28"/>
          <w:shd w:val="clear" w:fill="FFFFFF"/>
          <w:lang w:val="en-US" w:eastAsia="zh-CN" w:bidi="ar"/>
        </w:rPr>
        <w:t>IBM WebSphere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Lls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Kangle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Oracle WebLogic Server Administration Console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APPWebService Web 服务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邮件服务器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FH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服务器登录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74服务器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Server Home Page 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wdcp服务器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吴江文件服务器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文件服务器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办公服务器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服务器后台登陆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基础服务器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身份服务器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119服务器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启封新源服务器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PEMSoft应用服务器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服务器据管理系统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Minecraft服务器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激活服务器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信息存储服务器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流媒体服务器——苏州科达科技股份有限公司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多维数据服务器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服务器安全狗防护验证页面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BRANDSH 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SS服务器-请登录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企业代理服务器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云存储服务器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NAS服务器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共享服务器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开票服务器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服务器面板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wdCP云主机linux服务器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CTBS 服务器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数据管理服务器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备份服务器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60C4B01"/>
    <w:rsid w:val="07E75FB3"/>
    <w:rsid w:val="1FD222BB"/>
    <w:rsid w:val="27313F6F"/>
    <w:rsid w:val="40550F08"/>
    <w:rsid w:val="50410D9D"/>
    <w:rsid w:val="5C8874E6"/>
    <w:rsid w:val="677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376</Characters>
  <Lines>0</Lines>
  <Paragraphs>0</Paragraphs>
  <TotalTime>21</TotalTime>
  <ScaleCrop>false</ScaleCrop>
  <LinksUpToDate>false</LinksUpToDate>
  <CharactersWithSpaces>427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2022-07-18T09:32:00Z</dcterms:created>
  <dc:creator>Crush</dc:creator>
  <cp:lastModifiedBy>张</cp:lastModifiedBy>
  <dcterms:modified xsi:type="dcterms:W3CDTF">2022-07-22T09:05:15Z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BC8D62F919E344338BAB0197E71CB230</vt:lpwstr>
  </property>
</Properties>
</file>