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06327">
      <w:pPr>
        <w:spacing w:line="360" w:lineRule="auto"/>
        <w:ind w:left="1114" w:hanging="1114" w:hangingChars="398"/>
        <w:jc w:val="left"/>
        <w:rPr>
          <w:rFonts w:ascii="Times New Roman" w:hAnsi="Times New Roman" w:eastAsia="FangSong" w:cs="Times New Roman"/>
          <w:sz w:val="28"/>
          <w:szCs w:val="28"/>
        </w:rPr>
      </w:pPr>
      <w:r>
        <w:rPr>
          <w:rFonts w:hint="eastAsia" w:ascii="Times New Roman" w:hAnsi="Times New Roman" w:eastAsia="FangSong" w:cs="Times New Roman"/>
          <w:sz w:val="28"/>
          <w:szCs w:val="28"/>
        </w:rPr>
        <w:t>附件</w:t>
      </w:r>
      <w:r>
        <w:rPr>
          <w:rFonts w:ascii="Times New Roman" w:hAnsi="Times New Roman" w:eastAsia="FangSong" w:cs="Times New Roman"/>
          <w:sz w:val="28"/>
          <w:szCs w:val="28"/>
        </w:rPr>
        <w:t>1</w:t>
      </w:r>
      <w:r>
        <w:rPr>
          <w:rFonts w:hint="eastAsia" w:ascii="Times New Roman" w:hAnsi="Times New Roman" w:eastAsia="FangSong" w:cs="Times New Roman"/>
          <w:sz w:val="28"/>
          <w:szCs w:val="28"/>
        </w:rPr>
        <w:t>：</w:t>
      </w:r>
    </w:p>
    <w:p w14:paraId="6688A1E3">
      <w:pPr>
        <w:widowControl/>
        <w:spacing w:line="360" w:lineRule="auto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Hans"/>
        </w:rPr>
        <w:t>十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二届中国研究生智慧城市技术与创意设计大赛</w:t>
      </w:r>
      <w:bookmarkStart w:id="0" w:name="_Toc479323112"/>
      <w:bookmarkStart w:id="1" w:name="_Toc479323333"/>
    </w:p>
    <w:p w14:paraId="22B76FB0">
      <w:pPr>
        <w:spacing w:line="360" w:lineRule="auto"/>
        <w:ind w:left="210" w:leftChars="100" w:right="210" w:rightChars="10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2" w:name="_Toc108088507"/>
      <w:bookmarkStart w:id="3" w:name="_Toc7210846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创意设计赛</w:t>
      </w:r>
      <w:bookmarkEnd w:id="0"/>
      <w:bookmarkEnd w:id="1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项目简表</w:t>
      </w:r>
      <w:bookmarkEnd w:id="2"/>
      <w:bookmarkEnd w:id="3"/>
    </w:p>
    <w:p w14:paraId="72446DD4">
      <w:pPr>
        <w:widowControl/>
        <w:spacing w:line="360" w:lineRule="auto"/>
        <w:jc w:val="center"/>
        <w:rPr>
          <w:rFonts w:ascii="Times New Roman" w:hAnsi="Times New Roman" w:eastAsia="FangSong" w:cs="Times New Roman"/>
          <w:sz w:val="28"/>
          <w:szCs w:val="36"/>
        </w:rPr>
      </w:pPr>
      <w:r>
        <w:rPr>
          <w:rFonts w:hint="eastAsia" w:ascii="Times New Roman" w:hAnsi="Times New Roman" w:eastAsia="FangSong" w:cs="Times New Roman"/>
          <w:sz w:val="28"/>
          <w:szCs w:val="36"/>
        </w:rPr>
        <w:t>(模板)</w:t>
      </w:r>
    </w:p>
    <w:tbl>
      <w:tblPr>
        <w:tblStyle w:val="7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2" w:type="dxa"/>
          <w:left w:w="108" w:type="dxa"/>
          <w:bottom w:w="142" w:type="dxa"/>
          <w:right w:w="108" w:type="dxa"/>
        </w:tblCellMar>
      </w:tblPr>
      <w:tblGrid>
        <w:gridCol w:w="1792"/>
        <w:gridCol w:w="1464"/>
        <w:gridCol w:w="1570"/>
        <w:gridCol w:w="1842"/>
        <w:gridCol w:w="3822"/>
      </w:tblGrid>
      <w:tr w14:paraId="2969E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46365560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作品名称</w:t>
            </w:r>
          </w:p>
        </w:tc>
        <w:tc>
          <w:tcPr>
            <w:tcW w:w="8698" w:type="dxa"/>
            <w:gridSpan w:val="4"/>
          </w:tcPr>
          <w:p w14:paraId="2D762B5A">
            <w:pPr>
              <w:widowControl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SimSun" w:hAnsi="SimSun" w:eastAsia="SimSun" w:cs="Times New Roman"/>
                <w:kern w:val="2"/>
                <w:sz w:val="21"/>
                <w:szCs w:val="24"/>
                <w:lang w:val="en-US" w:eastAsia="zh-CN" w:bidi="ar"/>
              </w:rPr>
              <w:t>多业态融合智慧文旅管控系统——面向哈尔滨冰雪大世界与太阳岛的智慧运营解决方案</w:t>
            </w:r>
          </w:p>
        </w:tc>
      </w:tr>
      <w:tr w14:paraId="34704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601A44A8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团队名称</w:t>
            </w:r>
          </w:p>
        </w:tc>
        <w:tc>
          <w:tcPr>
            <w:tcW w:w="8698" w:type="dxa"/>
            <w:gridSpan w:val="4"/>
          </w:tcPr>
          <w:p w14:paraId="6AC8CD13">
            <w:pPr>
              <w:widowControl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SimSun" w:hAnsi="SimSun" w:eastAsia="SimSun" w:cs="Times New Roman"/>
                <w:kern w:val="2"/>
                <w:sz w:val="21"/>
                <w:szCs w:val="24"/>
                <w:lang w:val="en-US" w:eastAsia="zh-CN" w:bidi="ar"/>
              </w:rPr>
              <w:t>智慧文旅创新团队</w:t>
            </w:r>
          </w:p>
        </w:tc>
      </w:tr>
      <w:tr w14:paraId="012C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558" w:hRule="atLeast"/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539D6C78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参赛</w:t>
            </w:r>
            <w:r>
              <w:rPr>
                <w:rFonts w:hint="eastAsia" w:ascii="Times New Roman" w:hAnsi="Times New Roman" w:eastAsia="FangSong" w:cs="Times New Roman"/>
                <w:kern w:val="0"/>
                <w:sz w:val="24"/>
                <w:lang w:eastAsia="zh-Hans"/>
              </w:rPr>
              <w:t>赛道</w:t>
            </w: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/</w:t>
            </w:r>
          </w:p>
          <w:p w14:paraId="59571B19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赛题</w:t>
            </w:r>
          </w:p>
        </w:tc>
        <w:tc>
          <w:tcPr>
            <w:tcW w:w="8698" w:type="dxa"/>
            <w:gridSpan w:val="4"/>
            <w:vAlign w:val="center"/>
          </w:tcPr>
          <w:p w14:paraId="7DB7704F">
            <w:pPr>
              <w:widowControl/>
              <w:jc w:val="distribute"/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1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.定向赛道-低空经济与空天科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□ 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2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.定向赛道-智慧交通与数字孪生</w:t>
            </w: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 xml:space="preserve">    </w:t>
            </w:r>
            <w:r>
              <w:rPr>
                <w:rFonts w:ascii="Times New Roman" w:hAnsi="Times New Roman" w:eastAsia="FangSong" w:cs="Times New Roman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  </w:t>
            </w:r>
          </w:p>
          <w:p w14:paraId="015C8BED">
            <w:pPr>
              <w:widowControl/>
              <w:jc w:val="distribute"/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3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.定向赛道-智能建造与城市更新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 4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.定向赛道-未来城市与太空人居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</w:t>
            </w:r>
          </w:p>
          <w:p w14:paraId="5670B513">
            <w:pPr>
              <w:widowControl/>
              <w:jc w:val="distribute"/>
              <w:rPr>
                <w:rFonts w:ascii="Times New Roman" w:hAnsi="Times New Roman" w:eastAsia="FangSong" w:cs="Times New Roman"/>
                <w:color w:val="000000"/>
                <w:kern w:val="0"/>
                <w:sz w:val="32"/>
                <w:szCs w:val="21"/>
              </w:rPr>
            </w:pP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5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.定向赛道-智慧文旅与乡村振兴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 6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.定向赛道-</w:t>
            </w:r>
            <w:bookmarkStart w:id="4" w:name="OLE_LINK1"/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智慧能源与环境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</w:rPr>
              <w:t xml:space="preserve">        </w:t>
            </w:r>
            <w:r>
              <w:rPr>
                <w:rFonts w:ascii="Times New Roman" w:hAnsi="Times New Roman" w:eastAsia="FangSong" w:cs="FangSong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□</w:t>
            </w:r>
            <w:bookmarkEnd w:id="4"/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32"/>
                <w:szCs w:val="21"/>
              </w:rPr>
              <w:t xml:space="preserve"> </w:t>
            </w:r>
          </w:p>
          <w:p w14:paraId="3CDF79AA">
            <w:pPr>
              <w:widowControl/>
              <w:jc w:val="distribute"/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7.</w:t>
            </w:r>
            <w:bookmarkStart w:id="5" w:name="OLE_LINK2"/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定向赛道-</w:t>
            </w:r>
            <w:bookmarkEnd w:id="5"/>
            <w:r>
              <w:rPr>
                <w:rFonts w:hint="eastAsia" w:ascii="Times New Roman" w:hAnsi="Times New Roman" w:eastAsia="FangSong" w:cs="FangSong"/>
                <w:kern w:val="0"/>
                <w:sz w:val="24"/>
              </w:rPr>
              <w:t xml:space="preserve">韧性城市与智慧应急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 8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.定向赛道- AI与具身智能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</w:rPr>
              <w:t xml:space="preserve">         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644B32F1">
            <w:pPr>
              <w:widowControl/>
              <w:jc w:val="distribute"/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9.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定向赛道-智慧生活与大健康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</w:t>
            </w:r>
            <w:bookmarkStart w:id="6" w:name="OLE_LINK6"/>
            <w:bookmarkStart w:id="7" w:name="OLE_LINK7"/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□ </w:t>
            </w:r>
            <w:bookmarkEnd w:id="6"/>
            <w:bookmarkEnd w:id="7"/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10.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定向赛道-城市运维与安全 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 □</w:t>
            </w:r>
          </w:p>
          <w:p w14:paraId="33EE2CA1">
            <w:pPr>
              <w:widowControl/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11.定向赛道-智能材料与绿色建造□ </w:t>
            </w:r>
          </w:p>
          <w:p w14:paraId="5332F79A">
            <w:pPr>
              <w:widowControl/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1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2.自由赛道 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             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□</w:t>
            </w:r>
          </w:p>
          <w:p w14:paraId="6551A3FD">
            <w:pPr>
              <w:widowControl/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1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3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.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企业揭榜赛道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            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080D00F9">
            <w:pPr>
              <w:widowControl/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  <w:lang w:eastAsia="zh-CN"/>
              </w:rPr>
            </w:pP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  <w:t xml:space="preserve">14.地方特色赛道               </w:t>
            </w:r>
            <w:r>
              <w:rPr>
                <w:rFonts w:hint="eastAsia" w:ascii="Times New Roman" w:hAnsi="Times New Roman" w:eastAsia="FangSong" w:cs="Times New Roman"/>
                <w:color w:val="000000"/>
                <w:kern w:val="0"/>
                <w:sz w:val="24"/>
                <w:szCs w:val="18"/>
                <w:lang w:eastAsia="zh-CN"/>
              </w:rPr>
              <w:t>☑</w:t>
            </w:r>
          </w:p>
          <w:p w14:paraId="75EAFEAF">
            <w:pPr>
              <w:widowControl/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</w:pPr>
          </w:p>
          <w:p w14:paraId="5339828C">
            <w:pPr>
              <w:widowControl/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</w:pPr>
          </w:p>
          <w:p w14:paraId="6052222E">
            <w:pPr>
              <w:widowControl/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</w:pPr>
          </w:p>
          <w:p w14:paraId="49F61913">
            <w:pPr>
              <w:widowControl/>
              <w:rPr>
                <w:rFonts w:ascii="Times New Roman" w:hAnsi="Times New Roman" w:eastAsia="FangSong" w:cs="Times New Roman"/>
                <w:color w:val="000000"/>
                <w:kern w:val="0"/>
                <w:sz w:val="24"/>
                <w:szCs w:val="18"/>
              </w:rPr>
            </w:pPr>
          </w:p>
        </w:tc>
      </w:tr>
      <w:tr w14:paraId="72DA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2E4DD1D1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队长姓名</w:t>
            </w:r>
          </w:p>
        </w:tc>
        <w:tc>
          <w:tcPr>
            <w:tcW w:w="3034" w:type="dxa"/>
            <w:gridSpan w:val="2"/>
          </w:tcPr>
          <w:p w14:paraId="7A770FC5">
            <w:pPr>
              <w:widowControl/>
              <w:rPr>
                <w:rFonts w:hint="eastAsia" w:ascii="Times New Roman" w:hAnsi="Times New Roman" w:eastAsia="FangSong" w:cs="Times New Roman"/>
                <w:kern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  <w:lang w:val="en-US" w:eastAsia="zh-CN"/>
              </w:rPr>
              <w:t>刘军华</w:t>
            </w:r>
          </w:p>
        </w:tc>
        <w:tc>
          <w:tcPr>
            <w:tcW w:w="1842" w:type="dxa"/>
            <w:shd w:val="clear" w:color="auto" w:fill="E7E6E6"/>
          </w:tcPr>
          <w:p w14:paraId="44A503E5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队长联系电话</w:t>
            </w:r>
          </w:p>
        </w:tc>
        <w:tc>
          <w:tcPr>
            <w:tcW w:w="3822" w:type="dxa"/>
          </w:tcPr>
          <w:p w14:paraId="09934C13">
            <w:pPr>
              <w:widowControl/>
              <w:rPr>
                <w:rFonts w:hint="default" w:ascii="Times New Roman" w:hAnsi="Times New Roman" w:eastAsia="FangSong" w:cs="Times New Roman"/>
                <w:kern w:val="0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  <w:szCs w:val="21"/>
                <w:lang w:val="en-US" w:eastAsia="zh-CN"/>
              </w:rPr>
              <w:t>15775766917</w:t>
            </w:r>
          </w:p>
        </w:tc>
      </w:tr>
      <w:tr w14:paraId="2E52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3706BA81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团队成员</w:t>
            </w:r>
          </w:p>
        </w:tc>
        <w:tc>
          <w:tcPr>
            <w:tcW w:w="8698" w:type="dxa"/>
            <w:gridSpan w:val="4"/>
          </w:tcPr>
          <w:p w14:paraId="182DC101">
            <w:pPr>
              <w:widowControl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</w:p>
        </w:tc>
      </w:tr>
      <w:tr w14:paraId="292C9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1C6B65C4">
            <w:pPr>
              <w:widowControl/>
              <w:autoSpaceDN w:val="0"/>
              <w:jc w:val="center"/>
              <w:rPr>
                <w:rFonts w:ascii="Times New Roman" w:hAnsi="Times New Roman" w:eastAsia="FangSong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报告内容</w:t>
            </w:r>
          </w:p>
          <w:p w14:paraId="5F2BDFED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摘要</w:t>
            </w: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313A6B21">
            <w:pPr>
              <w:widowControl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FangSong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FangSong" w:cs="Times New Roman"/>
                <w:b/>
                <w:kern w:val="0"/>
                <w:sz w:val="24"/>
              </w:rPr>
              <w:t>1</w:t>
            </w:r>
            <w:r>
              <w:rPr>
                <w:rFonts w:hint="eastAsia" w:ascii="Times New Roman" w:hAnsi="Times New Roman" w:eastAsia="FangSong" w:cs="Times New Roman"/>
                <w:b/>
                <w:kern w:val="0"/>
                <w:sz w:val="24"/>
              </w:rPr>
              <w:t>）项目背景</w:t>
            </w:r>
          </w:p>
        </w:tc>
      </w:tr>
      <w:tr w14:paraId="68FF9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191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2EB41A71">
            <w:pPr>
              <w:widowControl/>
              <w:autoSpaceDN w:val="0"/>
              <w:jc w:val="center"/>
              <w:rPr>
                <w:rFonts w:ascii="Times New Roman" w:hAnsi="Times New Roman" w:eastAsia="FangSong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</w:tcPr>
          <w:p w14:paraId="190B7E79">
            <w:pPr>
              <w:widowControl/>
              <w:spacing w:line="360" w:lineRule="auto"/>
              <w:ind w:firstLine="480" w:firstLineChars="200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eastAsia="SimSun" w:cstheme="minorHAnsi"/>
                <w:sz w:val="24"/>
                <w:szCs w:val="40"/>
              </w:rPr>
              <w:t>哈尔滨冰雪大世界与太阳岛景区面临多业态数据孤岛、客流预测依赖经验、服务质量管理落后、业态间协同缺乏四大痛点。国家"十四五"规划明确推进智慧旅游建设，市场需求迫切。本项目构建覆盖"景区-酒店-餐饮-旅行社-零售"全链路的智慧文旅管控平台，实现从"经验驱动"到"数据+AI驱动"的运营范式升级。</w:t>
            </w:r>
          </w:p>
        </w:tc>
      </w:tr>
      <w:tr w14:paraId="3C42C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2FF80EA3">
            <w:pPr>
              <w:widowControl/>
              <w:autoSpaceDN w:val="0"/>
              <w:jc w:val="center"/>
              <w:rPr>
                <w:rFonts w:ascii="Times New Roman" w:hAnsi="Times New Roman" w:eastAsia="FangSong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5A564FDD">
            <w:pPr>
              <w:widowControl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FangSong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FangSong" w:cs="Times New Roman"/>
                <w:b/>
                <w:kern w:val="0"/>
                <w:sz w:val="24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kern w:val="0"/>
                <w:sz w:val="24"/>
              </w:rPr>
              <w:t>）立项思路</w:t>
            </w:r>
          </w:p>
        </w:tc>
      </w:tr>
      <w:tr w14:paraId="13F6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449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960261B">
            <w:pPr>
              <w:widowControl/>
              <w:autoSpaceDN w:val="0"/>
              <w:jc w:val="center"/>
              <w:rPr>
                <w:rFonts w:ascii="Times New Roman" w:hAnsi="Times New Roman" w:eastAsia="FangSong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</w:tcPr>
          <w:p w14:paraId="0BDF636F">
            <w:pPr>
              <w:widowControl/>
              <w:spacing w:line="360" w:lineRule="auto"/>
              <w:ind w:firstLine="480" w:firstLineChars="200"/>
              <w:rPr>
                <w:rFonts w:hint="eastAsia" w:eastAsia="SimSun" w:cstheme="minorHAnsi"/>
                <w:sz w:val="24"/>
                <w:szCs w:val="40"/>
              </w:rPr>
            </w:pPr>
            <w:r>
              <w:rPr>
                <w:rFonts w:eastAsia="SimSun" w:cstheme="minorHAnsi"/>
                <w:sz w:val="24"/>
                <w:szCs w:val="40"/>
              </w:rPr>
              <w:t>采用"感知层-数据层-业务层-展示层"四层架构，融合IoT物联网、LSTM深度学习客流预测、NLP舆情语义分析、Neo4j知识图谱推荐引擎、Three.js 3D数字孪生等前沿技术。创新点包括：Low-Poly 3D数字孪生大屏、迁移学习客流预测（解决寒地数据稀疏）、多业态知识图谱关联分析、电子围栏+热力联动三级预警、季节性自适应架构。核心技术栈均为成熟开源框架，技术风险可控。</w:t>
            </w:r>
          </w:p>
        </w:tc>
      </w:tr>
      <w:tr w14:paraId="36B2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8E1FDAE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40CDEABB">
            <w:pPr>
              <w:widowControl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FangSong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FangSong" w:cs="Times New Roman"/>
                <w:b/>
                <w:kern w:val="0"/>
                <w:sz w:val="24"/>
              </w:rPr>
              <w:t>3</w:t>
            </w:r>
            <w:r>
              <w:rPr>
                <w:rFonts w:hint="eastAsia" w:ascii="Times New Roman" w:hAnsi="Times New Roman" w:eastAsia="FangSong" w:cs="Times New Roman"/>
                <w:b/>
                <w:kern w:val="0"/>
                <w:sz w:val="24"/>
              </w:rPr>
              <w:t>）解决方案</w:t>
            </w:r>
          </w:p>
        </w:tc>
      </w:tr>
      <w:tr w14:paraId="66A27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7165FE8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</w:tcPr>
          <w:p w14:paraId="0D433705">
            <w:pPr>
              <w:widowControl/>
              <w:ind w:firstLine="480" w:firstLineChars="200"/>
              <w:rPr>
                <w:rFonts w:hint="eastAsia" w:eastAsia="SimSun" w:cstheme="minorHAnsi"/>
                <w:sz w:val="24"/>
                <w:szCs w:val="40"/>
              </w:rPr>
            </w:pPr>
            <w:r>
              <w:rPr>
                <w:rFonts w:eastAsia="SimSun" w:cstheme="minorHAnsi"/>
                <w:sz w:val="24"/>
                <w:szCs w:val="40"/>
              </w:rPr>
              <w:t>系统包含四大核心模块：①智能运营（IoT数据采集+电子围栏+游客画像+全场景驾驶舱），②智能规划与预判（LSTM编码器-注意力-解码器架构的多变量客流预测，预测窗口7天，MAPE&lt;15%），③服务智能优化（BERT舆情语义分析+服务短板自动识别+情感趋势追踪），④业态融合（Neo4j知识图谱+RFM客群分层+消费转化漏斗+差异化套票推荐）。前端以Three.js构建Low-Poly 3D数字孪生大屏，后端采用Kafka+Flink实时数据管道。已交付完整的3D可视化Demo系统。</w:t>
            </w:r>
          </w:p>
        </w:tc>
      </w:tr>
      <w:tr w14:paraId="2929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29BABD5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291BC38D">
            <w:pPr>
              <w:widowControl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FangSong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FangSong" w:cs="Times New Roman"/>
                <w:b/>
                <w:kern w:val="0"/>
                <w:sz w:val="24"/>
              </w:rPr>
              <w:t>4</w:t>
            </w:r>
            <w:r>
              <w:rPr>
                <w:rFonts w:hint="eastAsia" w:ascii="Times New Roman" w:hAnsi="Times New Roman" w:eastAsia="FangSong" w:cs="Times New Roman"/>
                <w:b/>
                <w:kern w:val="0"/>
                <w:sz w:val="24"/>
              </w:rPr>
              <w:t>）</w:t>
            </w:r>
            <w:r>
              <w:rPr>
                <w:rFonts w:hint="eastAsia" w:ascii="Times New Roman" w:hAnsi="Times New Roman" w:eastAsia="FangSong" w:cs="Times New Roman"/>
                <w:b/>
                <w:sz w:val="24"/>
              </w:rPr>
              <w:t>商业模式和预期效益</w:t>
            </w:r>
          </w:p>
        </w:tc>
      </w:tr>
      <w:tr w14:paraId="1A5A2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4388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4213D384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</w:tcPr>
          <w:p w14:paraId="2FE90B10">
            <w:pPr>
              <w:widowControl/>
              <w:ind w:firstLine="480" w:firstLineChars="200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eastAsia="SimSun" w:cstheme="minorHAnsi"/>
                <w:sz w:val="24"/>
                <w:szCs w:val="40"/>
              </w:rPr>
              <w:t>采用"SaaS订阅+定制化服务"双轨商业模式。基础版5万/年/景区，旗舰版30万/年/景区。以哈尔滨冰雪大世界为首个标杆客户，预计运营人力成本降低20%+（年节约120-180万元），跨业态套票增收15%+（年增约1500万元），投资回报周期2-3年。目标市场覆盖全国冰雪景区及季节性景区（滑雪场、主题乐园、海滨浴场等），市场空间超百亿。</w:t>
            </w:r>
          </w:p>
        </w:tc>
      </w:tr>
      <w:tr w14:paraId="72705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10CC793E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作品技术</w:t>
            </w:r>
          </w:p>
          <w:p w14:paraId="0F53FFBE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</w:rPr>
              <w:t>自评价</w:t>
            </w:r>
          </w:p>
        </w:tc>
        <w:tc>
          <w:tcPr>
            <w:tcW w:w="1464" w:type="dxa"/>
            <w:vAlign w:val="center"/>
          </w:tcPr>
          <w:p w14:paraId="2486C2B0">
            <w:pPr>
              <w:widowControl/>
              <w:rPr>
                <w:rFonts w:ascii="Times New Roman" w:hAnsi="Times New Roman" w:eastAsia="FangSong" w:cs="Times New Roman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  <w:szCs w:val="18"/>
              </w:rPr>
              <w:t>作品所处</w:t>
            </w:r>
          </w:p>
          <w:p w14:paraId="60E7A949">
            <w:pPr>
              <w:widowControl/>
              <w:rPr>
                <w:rFonts w:ascii="Times New Roman" w:hAnsi="Times New Roman" w:eastAsia="FangSong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  <w:szCs w:val="18"/>
              </w:rPr>
              <w:t>研发阶段：</w:t>
            </w:r>
          </w:p>
        </w:tc>
        <w:tc>
          <w:tcPr>
            <w:tcW w:w="7234" w:type="dxa"/>
            <w:gridSpan w:val="3"/>
            <w:vAlign w:val="center"/>
          </w:tcPr>
          <w:p w14:paraId="32563D12">
            <w:pPr>
              <w:widowControl/>
              <w:spacing w:before="81" w:after="81"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Times New Roman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创意设计类;  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基础研究类； </w:t>
            </w:r>
          </w:p>
          <w:p w14:paraId="3171B66E">
            <w:pPr>
              <w:widowControl/>
              <w:rPr>
                <w:rFonts w:ascii="Times New Roman" w:hAnsi="Times New Roman" w:eastAsia="FangSong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52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软硬件开发类;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工程实施类</w:t>
            </w:r>
          </w:p>
        </w:tc>
      </w:tr>
      <w:tr w14:paraId="2920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B3D5D80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5C38F168">
            <w:pPr>
              <w:widowControl/>
              <w:rPr>
                <w:rFonts w:ascii="Times New Roman" w:hAnsi="Times New Roman" w:eastAsia="FangSong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先进性：</w:t>
            </w:r>
          </w:p>
        </w:tc>
        <w:tc>
          <w:tcPr>
            <w:tcW w:w="7234" w:type="dxa"/>
            <w:gridSpan w:val="3"/>
            <w:vAlign w:val="center"/>
          </w:tcPr>
          <w:p w14:paraId="0F9210EE">
            <w:pPr>
              <w:widowControl/>
              <w:spacing w:before="81" w:after="81"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国际领先;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国际先进;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国内领先;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52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国内先进 </w:t>
            </w:r>
          </w:p>
          <w:p w14:paraId="71A02E62">
            <w:pPr>
              <w:widowControl/>
              <w:rPr>
                <w:rFonts w:ascii="Times New Roman" w:hAnsi="Times New Roman" w:eastAsia="FangSong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国内一般;</w:t>
            </w:r>
            <w:r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无法判断</w:t>
            </w:r>
          </w:p>
        </w:tc>
      </w:tr>
      <w:tr w14:paraId="69F70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A3949A7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62CB8281">
            <w:pPr>
              <w:widowControl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成果交付物类型（可多选）</w:t>
            </w:r>
          </w:p>
        </w:tc>
        <w:tc>
          <w:tcPr>
            <w:tcW w:w="7234" w:type="dxa"/>
            <w:gridSpan w:val="3"/>
            <w:vAlign w:val="center"/>
          </w:tcPr>
          <w:p w14:paraId="345A6BDA">
            <w:pPr>
              <w:widowControl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□硬件 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  <w:lang w:eastAsia="zh-CN"/>
              </w:rPr>
              <w:t>☑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软件 □工艺 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  <w:lang w:eastAsia="zh-CN"/>
              </w:rPr>
              <w:t>☑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方法 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  <w:lang w:eastAsia="zh-CN"/>
              </w:rPr>
              <w:t>☑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服务 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  <w:lang w:eastAsia="zh-CN"/>
              </w:rPr>
              <w:t>☑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商业模式 </w:t>
            </w:r>
          </w:p>
          <w:p w14:paraId="0BE84DA2">
            <w:pPr>
              <w:widowControl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□其他 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  <w:u w:val="single"/>
              </w:rPr>
              <w:t xml:space="preserve">                         </w:t>
            </w:r>
          </w:p>
        </w:tc>
      </w:tr>
      <w:tr w14:paraId="5513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449F0FA2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25278B27">
            <w:pPr>
              <w:widowControl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技术成熟度（单选）：</w:t>
            </w:r>
          </w:p>
        </w:tc>
        <w:tc>
          <w:tcPr>
            <w:tcW w:w="7234" w:type="dxa"/>
            <w:gridSpan w:val="3"/>
            <w:vAlign w:val="center"/>
          </w:tcPr>
          <w:p w14:paraId="79120DB6">
            <w:pPr>
              <w:widowControl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□第1级 □第2级 □第3级 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  <w:lang w:eastAsia="zh-CN"/>
              </w:rPr>
              <w:t>☑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第4级 </w:t>
            </w:r>
          </w:p>
          <w:p w14:paraId="44A50850">
            <w:pPr>
              <w:widowControl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□第5级 □第6级 □第7级 □第8级 </w:t>
            </w:r>
          </w:p>
          <w:p w14:paraId="0A3CAF05">
            <w:pPr>
              <w:widowControl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□第9级</w:t>
            </w:r>
          </w:p>
        </w:tc>
      </w:tr>
      <w:tr w14:paraId="4CFE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7804A6C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6FB4031F">
            <w:pPr>
              <w:widowControl/>
              <w:rPr>
                <w:rFonts w:ascii="Times New Roman" w:hAnsi="Times New Roman" w:eastAsia="FangSong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国内外对比参照物（可多个参照物）：</w:t>
            </w:r>
          </w:p>
        </w:tc>
        <w:tc>
          <w:tcPr>
            <w:tcW w:w="7234" w:type="dxa"/>
            <w:gridSpan w:val="3"/>
            <w:vAlign w:val="center"/>
          </w:tcPr>
          <w:p w14:paraId="67E8C00F">
            <w:pPr>
              <w:widowControl/>
              <w:spacing w:before="81" w:after="81"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国际产品/技术/标准;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52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国内产品/技术/标准;</w:t>
            </w:r>
          </w:p>
          <w:p w14:paraId="671CECC4">
            <w:pPr>
              <w:widowControl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如有给出具体对标产品名称：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  <w:u w:val="single"/>
              </w:rPr>
              <w:t xml:space="preserve">                       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 xml:space="preserve"> </w:t>
            </w:r>
          </w:p>
          <w:p w14:paraId="5BB41BEE">
            <w:pPr>
              <w:widowControl/>
              <w:spacing w:before="81" w:after="81"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无对比参照物</w:t>
            </w:r>
          </w:p>
          <w:p w14:paraId="27A0558D">
            <w:pPr>
              <w:widowControl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</w:p>
        </w:tc>
      </w:tr>
      <w:tr w14:paraId="01879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854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3E9360D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04CB6A31">
            <w:pPr>
              <w:widowControl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关键指标</w:t>
            </w:r>
          </w:p>
          <w:p w14:paraId="0AB588A2">
            <w:pPr>
              <w:widowControl/>
              <w:rPr>
                <w:rFonts w:ascii="Times New Roman" w:hAnsi="Times New Roman" w:eastAsia="FangSong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提升情况：（</w:t>
            </w:r>
            <w:r>
              <w:rPr>
                <w:rFonts w:hint="eastAsia" w:ascii="Times New Roman" w:hAnsi="Times New Roman" w:eastAsia="FangSong" w:cs="FangSong"/>
                <w:b/>
                <w:bCs/>
                <w:kern w:val="0"/>
                <w:sz w:val="24"/>
                <w:szCs w:val="18"/>
              </w:rPr>
              <w:t>关键指标一般3-5项，具体数值需有相关试验报告、第三方检测报告等佐证材料支撑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）</w:t>
            </w:r>
          </w:p>
        </w:tc>
        <w:tc>
          <w:tcPr>
            <w:tcW w:w="7234" w:type="dxa"/>
            <w:gridSpan w:val="3"/>
            <w:vAlign w:val="center"/>
          </w:tcPr>
          <w:tbl>
            <w:tblPr>
              <w:tblStyle w:val="6"/>
              <w:tblpPr w:leftFromText="180" w:rightFromText="180" w:vertAnchor="text" w:horzAnchor="page" w:tblpXSpec="center" w:tblpY="396"/>
              <w:tblOverlap w:val="never"/>
              <w:tblW w:w="7018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1"/>
              <w:gridCol w:w="1478"/>
              <w:gridCol w:w="1665"/>
              <w:gridCol w:w="1185"/>
              <w:gridCol w:w="1179"/>
            </w:tblGrid>
            <w:tr w14:paraId="68804AC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18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147767B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lang w:bidi="ar"/>
                      <w14:ligatures w14:val="standardContextual"/>
                    </w:rPr>
                    <w:t xml:space="preserve"> </w:t>
                  </w:r>
                  <w:r>
                    <w:rPr>
                      <w:rFonts w:ascii="Times New Roman" w:hAnsi="Times New Roman" w:eastAsia="FangSong" w:cs="FangSong"/>
                      <w:color w:val="000000"/>
                      <w:szCs w:val="21"/>
                      <w:lang w:bidi="ar"/>
                      <w14:ligatures w14:val="standardContextual"/>
                    </w:rPr>
                    <w:t>指标名称</w:t>
                  </w:r>
                </w:p>
              </w:tc>
              <w:tc>
                <w:tcPr>
                  <w:tcW w:w="105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D993F66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lang w:bidi="ar"/>
                      <w14:ligatures w14:val="standardContextual"/>
                    </w:rPr>
                    <w:t xml:space="preserve"> </w:t>
                  </w:r>
                  <w:r>
                    <w:rPr>
                      <w:rFonts w:ascii="Times New Roman" w:hAnsi="Times New Roman" w:eastAsia="FangSong" w:cs="FangSong"/>
                      <w:color w:val="000000"/>
                      <w:szCs w:val="21"/>
                      <w:lang w:bidi="ar"/>
                      <w14:ligatures w14:val="standardContextual"/>
                    </w:rPr>
                    <w:t>指标值</w:t>
                  </w:r>
                </w:p>
              </w:tc>
              <w:tc>
                <w:tcPr>
                  <w:tcW w:w="118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B22097D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FangSong" w:cs="FangSong"/>
                      <w:color w:val="000000"/>
                      <w:szCs w:val="21"/>
                      <w:lang w:bidi="ar"/>
                      <w14:ligatures w14:val="standardContextual"/>
                    </w:rPr>
                    <w:t>参照值</w:t>
                  </w:r>
                </w:p>
              </w:tc>
              <w:tc>
                <w:tcPr>
                  <w:tcW w:w="84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3D2EDA8">
                  <w:pPr>
                    <w:widowControl/>
                    <w:spacing w:line="360" w:lineRule="auto"/>
                    <w:jc w:val="both"/>
                    <w:textAlignment w:val="center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FangSong" w:cs="FangSong"/>
                      <w:color w:val="000000"/>
                      <w:szCs w:val="21"/>
                      <w:lang w:bidi="ar"/>
                      <w14:ligatures w14:val="standardContextual"/>
                    </w:rPr>
                    <w:t>提</w:t>
                  </w:r>
                  <w:bookmarkStart w:id="8" w:name="_GoBack"/>
                  <w:bookmarkEnd w:id="8"/>
                  <w:r>
                    <w:rPr>
                      <w:rFonts w:ascii="Times New Roman" w:hAnsi="Times New Roman" w:eastAsia="FangSong" w:cs="FangSong"/>
                      <w:color w:val="000000"/>
                      <w:szCs w:val="21"/>
                      <w:lang w:bidi="ar"/>
                      <w14:ligatures w14:val="standardContextual"/>
                    </w:rPr>
                    <w:t>升度%</w:t>
                  </w:r>
                </w:p>
              </w:tc>
              <w:tc>
                <w:tcPr>
                  <w:tcW w:w="83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vAlign w:val="center"/>
                </w:tcPr>
                <w:p w14:paraId="0DF4196E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FangSong" w:cs="FangSong"/>
                      <w:color w:val="000000"/>
                      <w:szCs w:val="21"/>
                      <w:lang w:bidi="ar"/>
                      <w14:ligatures w14:val="standardContextual"/>
                    </w:rPr>
                    <w:t>参照对象</w:t>
                  </w:r>
                </w:p>
              </w:tc>
            </w:tr>
            <w:tr w14:paraId="324EEE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CC2A35E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  <w:t>客流预测精度</w:t>
                  </w:r>
                </w:p>
              </w:tc>
              <w:tc>
                <w:tcPr>
                  <w:tcW w:w="105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2022184">
                  <w:pPr>
                    <w:widowControl/>
                    <w:spacing w:line="360" w:lineRule="auto"/>
                    <w:jc w:val="left"/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  <w:t>传统ARIMA方法MAPE≈25%</w:t>
                  </w:r>
                </w:p>
              </w:tc>
              <w:tc>
                <w:tcPr>
                  <w:tcW w:w="118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6CCB306">
                  <w:pPr>
                    <w:widowControl/>
                    <w:spacing w:line="360" w:lineRule="auto"/>
                    <w:jc w:val="left"/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  <w:t>LSTM+迁移学习MAPE&lt;15%</w:t>
                  </w:r>
                  <w:r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  <w:br w:type="textWrapping"/>
                  </w:r>
                </w:p>
              </w:tc>
              <w:tc>
                <w:tcPr>
                  <w:tcW w:w="84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5FCC094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  <w:t>40%+</w:t>
                  </w:r>
                </w:p>
              </w:tc>
              <w:tc>
                <w:tcPr>
                  <w:tcW w:w="83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vAlign w:val="center"/>
                </w:tcPr>
                <w:p w14:paraId="4C74A79C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</w:tr>
            <w:tr w14:paraId="1677F3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9151543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  <w:t>异常事件响应</w:t>
                  </w:r>
                </w:p>
              </w:tc>
              <w:tc>
                <w:tcPr>
                  <w:tcW w:w="105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8DD730C">
                  <w:pPr>
                    <w:widowControl/>
                    <w:spacing w:line="360" w:lineRule="auto"/>
                    <w:jc w:val="left"/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  <w:t>传统人工巡查分钟级</w:t>
                  </w:r>
                </w:p>
              </w:tc>
              <w:tc>
                <w:tcPr>
                  <w:tcW w:w="118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29366AE">
                  <w:pPr>
                    <w:widowControl/>
                    <w:spacing w:line="360" w:lineRule="auto"/>
                    <w:jc w:val="left"/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  <w:t>实时预警秒级</w:t>
                  </w:r>
                </w:p>
              </w:tc>
              <w:tc>
                <w:tcPr>
                  <w:tcW w:w="84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BD6FA74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  <w:tc>
                <w:tcPr>
                  <w:tcW w:w="83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vAlign w:val="center"/>
                </w:tcPr>
                <w:p w14:paraId="7152F46D">
                  <w:pPr>
                    <w:widowControl/>
                    <w:spacing w:line="360" w:lineRule="auto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</w:tr>
            <w:tr w14:paraId="441B73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2D6C94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  <w:t>运营数据获取</w:t>
                  </w:r>
                </w:p>
              </w:tc>
              <w:tc>
                <w:tcPr>
                  <w:tcW w:w="105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4F5A43B">
                  <w:pPr>
                    <w:widowControl/>
                    <w:spacing w:line="360" w:lineRule="auto"/>
                    <w:jc w:val="left"/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  <w:t>多系统切换查看</w:t>
                  </w:r>
                </w:p>
              </w:tc>
              <w:tc>
                <w:tcPr>
                  <w:tcW w:w="118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6EAA3EAD">
                  <w:pPr>
                    <w:widowControl/>
                    <w:spacing w:line="360" w:lineRule="auto"/>
                    <w:jc w:val="left"/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FangSong" w:cs="FangSong"/>
                      <w:color w:val="000000"/>
                      <w:szCs w:val="21"/>
                      <w:lang w:val="en-US" w:eastAsia="zh-CN"/>
                    </w:rPr>
                    <w:t>一屏全景掌控</w:t>
                  </w:r>
                </w:p>
              </w:tc>
              <w:tc>
                <w:tcPr>
                  <w:tcW w:w="84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4336B7C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  <w:tc>
                <w:tcPr>
                  <w:tcW w:w="83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vAlign w:val="center"/>
                </w:tcPr>
                <w:p w14:paraId="13AF389C">
                  <w:pPr>
                    <w:widowControl/>
                    <w:spacing w:line="360" w:lineRule="auto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</w:tr>
            <w:tr w14:paraId="1776C7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6C38D227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  <w:tc>
                <w:tcPr>
                  <w:tcW w:w="105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AE31F72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  <w:tc>
                <w:tcPr>
                  <w:tcW w:w="118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63A4D3A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  <w:tc>
                <w:tcPr>
                  <w:tcW w:w="84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5B18ABB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  <w:tc>
                <w:tcPr>
                  <w:tcW w:w="83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vAlign w:val="center"/>
                </w:tcPr>
                <w:p w14:paraId="5723E78C">
                  <w:pPr>
                    <w:widowControl/>
                    <w:spacing w:line="360" w:lineRule="auto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</w:tr>
            <w:tr w14:paraId="160201A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2DE599A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  <w:tc>
                <w:tcPr>
                  <w:tcW w:w="105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67204D7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  <w:tc>
                <w:tcPr>
                  <w:tcW w:w="118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D49F832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  <w:tc>
                <w:tcPr>
                  <w:tcW w:w="84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9C3880D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  <w:tc>
                <w:tcPr>
                  <w:tcW w:w="83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vAlign w:val="center"/>
                </w:tcPr>
                <w:p w14:paraId="5D475E85">
                  <w:pPr>
                    <w:widowControl/>
                    <w:spacing w:line="360" w:lineRule="auto"/>
                    <w:rPr>
                      <w:rFonts w:ascii="Times New Roman" w:hAnsi="Times New Roman" w:eastAsia="FangSong" w:cs="FangSong"/>
                      <w:color w:val="000000"/>
                      <w:szCs w:val="21"/>
                    </w:rPr>
                  </w:pPr>
                </w:p>
              </w:tc>
            </w:tr>
          </w:tbl>
          <w:p w14:paraId="6605A494">
            <w:pPr>
              <w:widowControl/>
              <w:rPr>
                <w:rFonts w:ascii="Times New Roman" w:hAnsi="Times New Roman" w:eastAsia="FangSong" w:cs="Times New Roman"/>
                <w:color w:val="595959"/>
                <w:kern w:val="0"/>
                <w:sz w:val="24"/>
              </w:rPr>
            </w:pPr>
          </w:p>
        </w:tc>
      </w:tr>
      <w:tr w14:paraId="4F3A1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4ABF971A">
            <w:pPr>
              <w:widowControl/>
              <w:jc w:val="center"/>
              <w:rPr>
                <w:rFonts w:ascii="Times New Roman" w:hAnsi="Times New Roman" w:eastAsia="FangSong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3314914C">
            <w:pPr>
              <w:widowControl/>
              <w:rPr>
                <w:rFonts w:ascii="Times New Roman" w:hAnsi="Times New Roman" w:eastAsia="FangSong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提升维度（可多选）：</w:t>
            </w:r>
          </w:p>
        </w:tc>
        <w:tc>
          <w:tcPr>
            <w:tcW w:w="7234" w:type="dxa"/>
            <w:gridSpan w:val="3"/>
            <w:vAlign w:val="center"/>
          </w:tcPr>
          <w:p w14:paraId="3716CF2D">
            <w:pPr>
              <w:widowControl/>
              <w:spacing w:line="360" w:lineRule="auto"/>
              <w:rPr>
                <w:rFonts w:ascii="Times New Roman" w:hAnsi="Times New Roman" w:eastAsia="FangSong" w:cs="FangSong"/>
                <w:kern w:val="0"/>
                <w:sz w:val="24"/>
                <w:szCs w:val="18"/>
                <w:u w:val="single"/>
              </w:rPr>
            </w:pPr>
            <w:r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  <w:sym w:font="Wingdings 2" w:char="0052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质量提升;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  <w:u w:val="single"/>
              </w:rPr>
              <w:t xml:space="preserve">                               </w:t>
            </w:r>
          </w:p>
          <w:p w14:paraId="0116BE87">
            <w:pPr>
              <w:widowControl/>
              <w:spacing w:line="360" w:lineRule="auto"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52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成本降低;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  <w:u w:val="single"/>
              </w:rPr>
              <w:t xml:space="preserve">                               </w:t>
            </w:r>
          </w:p>
          <w:p w14:paraId="6097F7F7">
            <w:pPr>
              <w:widowControl/>
              <w:spacing w:line="360" w:lineRule="auto"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52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效率提升;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  <w:u w:val="single"/>
              </w:rPr>
              <w:t xml:space="preserve">                               </w:t>
            </w:r>
          </w:p>
          <w:p w14:paraId="41109E0A">
            <w:pPr>
              <w:widowControl/>
              <w:spacing w:line="360" w:lineRule="auto"/>
              <w:rPr>
                <w:rFonts w:ascii="Times New Roman" w:hAnsi="Times New Roman" w:eastAsia="FangSong" w:cs="FangSong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生产/交付周期缩短：</w:t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  <w:u w:val="single"/>
              </w:rPr>
              <w:t xml:space="preserve">                     </w:t>
            </w:r>
          </w:p>
          <w:p w14:paraId="358BCCBC">
            <w:pPr>
              <w:widowControl/>
              <w:spacing w:line="360" w:lineRule="auto"/>
              <w:rPr>
                <w:rFonts w:ascii="Times New Roman" w:hAnsi="Times New Roman" w:eastAsia="FangSong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FangSong" w:cs="FangSong"/>
                <w:kern w:val="0"/>
                <w:sz w:val="24"/>
                <w:szCs w:val="18"/>
              </w:rPr>
              <w:t>新功能实现：</w:t>
            </w:r>
            <w:r>
              <w:rPr>
                <w:rFonts w:hint="eastAsia" w:ascii="Times New Roman" w:hAnsi="Times New Roman" w:eastAsia="FangSong" w:cs="FangSong"/>
                <w:strike/>
                <w:kern w:val="0"/>
                <w:sz w:val="24"/>
                <w:szCs w:val="18"/>
              </w:rPr>
              <w:t xml:space="preserve">                            </w:t>
            </w:r>
          </w:p>
        </w:tc>
      </w:tr>
    </w:tbl>
    <w:p w14:paraId="03E06E87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1BFD792-866B-4E2A-9DB9-5EECBCE44CE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28A851EC-D570-499E-86CF-7076AAF13495}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AF685EC3-E9BE-4522-8A99-AA3E4AF03704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黑体_GBK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Arial Unicode MS"/>
    <w:panose1 w:val="00000000000000000000"/>
    <w:charset w:val="86"/>
    <w:family w:val="auto"/>
    <w:pitch w:val="default"/>
    <w:sig w:usb0="00000000" w:usb1="00000000" w:usb2="00000012" w:usb3="00000000" w:csb0="00040001" w:csb1="00000000"/>
    <w:embedRegular r:id="rId4" w:fontKey="{63756282-7097-4AC2-A69C-33D03EC685E9}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5" w:fontKey="{B0EFE75D-D439-484A-8522-5F771863DC75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SOFABA59485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0FAC8413">
    <w:panose1 w:val="020B0604020202020204"/>
    <w:charset w:val="86"/>
    <w:family w:val="auto"/>
    <w:pitch w:val="default"/>
    <w:sig w:usb0="00000001" w:usb1="00000000" w:usb2="00000000" w:usb3="00000000" w:csb0="00040001" w:csb1="00000000"/>
  </w:font>
  <w:font w:name="@SimSun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  <w:embedRegular r:id="rId6" w:fontKey="{6B0ECB42-B4F2-4902-90CC-11357380A20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95E7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98630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98630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0E212F"/>
    <w:rsid w:val="0037319A"/>
    <w:rsid w:val="003B6124"/>
    <w:rsid w:val="00477683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B669FC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D7B6243"/>
    <w:rsid w:val="706128F2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FangSong" w:hAnsi="Calibri" w:eastAsia="FangSong" w:cs="Times New Roman"/>
      <w:sz w:val="30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15"/>
    <w:basedOn w:val="8"/>
    <w:qFormat/>
    <w:uiPriority w:val="0"/>
    <w:rPr>
      <w:rFonts w:hint="default" w:ascii="Times New Roman" w:hAnsi="Times New Roman" w:cs="Times New Roman"/>
      <w:b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FangSong" w:hAnsi="SimSun" w:eastAsia="FangSong" w:cs="Times New Roman"/>
      <w:b/>
      <w:color w:val="000000"/>
      <w:kern w:val="2"/>
      <w:sz w:val="32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FangSong" w:hAnsi="FangSong" w:eastAsia="FangSong" w:cs="Times New Roman"/>
      <w:sz w:val="28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SimHei" w:hAnsi="Microsoft YaHei UI" w:eastAsia="SimHei" w:cs="Times New Roman"/>
      <w:b/>
      <w:color w:val="000000"/>
      <w:kern w:val="2"/>
      <w:sz w:val="32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hint="eastAsia" w:ascii="SimSun" w:hAnsi="SimSun" w:eastAsia="SimSun" w:cs="SimSun"/>
      <w:color w:val="0070C0"/>
      <w:sz w:val="22"/>
      <w:szCs w:val="22"/>
    </w:rPr>
  </w:style>
  <w:style w:type="character" w:customStyle="1" w:styleId="17">
    <w:name w:val="16"/>
    <w:basedOn w:val="8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FangSong" w:hAnsi="Calibri" w:eastAsia="FangSong" w:cs="Times New Roman"/>
      <w:sz w:val="32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hAnsi="Microsoft YaHei UI" w:eastAsia="方正小标宋简体" w:cs="Times New Roman"/>
      <w:b/>
      <w:color w:val="000000"/>
      <w:kern w:val="44"/>
      <w:sz w:val="36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方正小标宋简体" w:hAnsi="Microsoft YaHei" w:eastAsia="方正小标宋简体" w:cs="Times New Roman"/>
      <w:sz w:val="36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hint="eastAsia" w:ascii="SimSun" w:hAnsi="SimSun" w:eastAsia="SimSun" w:cs="SimSun"/>
      <w:color w:val="0070C0"/>
      <w:sz w:val="22"/>
      <w:szCs w:val="22"/>
      <w:u w:val="none"/>
    </w:rPr>
  </w:style>
  <w:style w:type="paragraph" w:customStyle="1" w:styleId="24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1095</Words>
  <Characters>1222</Characters>
  <Lines>13</Lines>
  <Paragraphs>3</Paragraphs>
  <TotalTime>6</TotalTime>
  <ScaleCrop>false</ScaleCrop>
  <LinksUpToDate>false</LinksUpToDate>
  <CharactersWithSpaces>1396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>ZA</dc:creator>
  <cp:lastModifiedBy>安乐</cp:lastModifiedBy>
  <dcterms:modified xsi:type="dcterms:W3CDTF">2026-09-17T10:41:05Z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eyJoZGlkIjoiNGJiM2RlMTBjYzIxZWNjMmRmMzJhMGNlMWQ0OTM4N2EiLCJ1c2VySWQiOiI0MDgzOTAyMDIifQ==</vt:lpwstr>
  </property>
  <property fmtid="{D5CDD505-2E9C-101B-9397-08002B2CF9AE}" pid="4" name="ICV">
    <vt:lpwstr>52254B7D4BEC44C7AC8CB2B97703B85B_13</vt:lpwstr>
  </property>
</Properties>
</file>