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28C0" w14:textId="32C57517" w:rsidR="00493376" w:rsidRPr="008C2413" w:rsidRDefault="008C2413">
      <w:pPr>
        <w:rPr>
          <w:rFonts w:ascii="Times New Roman" w:hAnsi="Times New Roman" w:cs="Times New Roman"/>
          <w:b/>
          <w:bCs/>
          <w:sz w:val="28"/>
          <w:szCs w:val="28"/>
        </w:rPr>
      </w:pPr>
      <w:r w:rsidRPr="008C2413">
        <w:rPr>
          <w:rFonts w:ascii="Times New Roman" w:hAnsi="Times New Roman" w:cs="Times New Roman"/>
          <w:b/>
          <w:bCs/>
          <w:sz w:val="28"/>
          <w:szCs w:val="28"/>
        </w:rPr>
        <w:t xml:space="preserve">What is </w:t>
      </w:r>
      <w:proofErr w:type="spellStart"/>
      <w:r w:rsidRPr="008C2413">
        <w:rPr>
          <w:rFonts w:ascii="Times New Roman" w:hAnsi="Times New Roman" w:cs="Times New Roman"/>
          <w:b/>
          <w:bCs/>
          <w:sz w:val="28"/>
          <w:szCs w:val="28"/>
        </w:rPr>
        <w:t>RDCdb</w:t>
      </w:r>
      <w:proofErr w:type="spellEnd"/>
      <w:r w:rsidRPr="008C2413">
        <w:rPr>
          <w:rFonts w:ascii="Times New Roman" w:hAnsi="Times New Roman" w:cs="Times New Roman"/>
          <w:b/>
          <w:bCs/>
          <w:sz w:val="28"/>
          <w:szCs w:val="28"/>
        </w:rPr>
        <w:t>?</w:t>
      </w:r>
    </w:p>
    <w:p w14:paraId="4B19442E" w14:textId="120D5FA6" w:rsidR="008C2413" w:rsidRDefault="008C2413">
      <w:pPr>
        <w:rPr>
          <w:rFonts w:ascii="Times New Roman" w:hAnsi="Times New Roman" w:cs="Times New Roman"/>
          <w:sz w:val="28"/>
          <w:szCs w:val="28"/>
        </w:rPr>
      </w:pPr>
      <w:proofErr w:type="spellStart"/>
      <w:r w:rsidRPr="008C2413">
        <w:rPr>
          <w:rFonts w:ascii="Times New Roman" w:hAnsi="Times New Roman" w:cs="Times New Roman"/>
          <w:b/>
          <w:bCs/>
          <w:sz w:val="28"/>
          <w:szCs w:val="28"/>
        </w:rPr>
        <w:t>RDCdb</w:t>
      </w:r>
      <w:proofErr w:type="spellEnd"/>
      <w:r w:rsidRPr="008C2413">
        <w:rPr>
          <w:rFonts w:ascii="Times New Roman" w:hAnsi="Times New Roman" w:cs="Times New Roman"/>
          <w:sz w:val="28"/>
          <w:szCs w:val="28"/>
        </w:rPr>
        <w:t>,</w:t>
      </w:r>
      <w:r>
        <w:rPr>
          <w:rFonts w:ascii="Times New Roman" w:hAnsi="Times New Roman" w:cs="Times New Roman" w:hint="eastAsia"/>
          <w:sz w:val="28"/>
          <w:szCs w:val="28"/>
        </w:rPr>
        <w:t xml:space="preserve"> a</w:t>
      </w:r>
      <w:r w:rsidRPr="008C2413">
        <w:rPr>
          <w:rFonts w:ascii="Times New Roman" w:hAnsi="Times New Roman" w:cs="Times New Roman"/>
          <w:sz w:val="28"/>
          <w:szCs w:val="28"/>
        </w:rPr>
        <w:t xml:space="preserve"> novel drug </w:t>
      </w:r>
      <w:r w:rsidR="00B57EF1" w:rsidRPr="008C2413">
        <w:rPr>
          <w:rFonts w:ascii="Times New Roman" w:hAnsi="Times New Roman" w:cs="Times New Roman"/>
          <w:sz w:val="28"/>
          <w:szCs w:val="28"/>
        </w:rPr>
        <w:t>database,</w:t>
      </w:r>
      <w:r w:rsidRPr="008C2413">
        <w:rPr>
          <w:rFonts w:ascii="Times New Roman" w:hAnsi="Times New Roman" w:cs="Times New Roman"/>
          <w:sz w:val="28"/>
          <w:szCs w:val="28"/>
        </w:rPr>
        <w:t xml:space="preserve"> has been created to deliver comprehensive drug information from multiple perspectives, especially pharmaceutical details and biological activities. Particularly, a total of </w:t>
      </w:r>
      <w:r>
        <w:rPr>
          <w:rFonts w:ascii="Times New Roman" w:hAnsi="Times New Roman" w:cs="Times New Roman" w:hint="eastAsia"/>
          <w:sz w:val="28"/>
          <w:szCs w:val="28"/>
        </w:rPr>
        <w:t>2053</w:t>
      </w:r>
      <w:r w:rsidRPr="008C2413">
        <w:rPr>
          <w:rFonts w:ascii="Times New Roman" w:hAnsi="Times New Roman" w:cs="Times New Roman"/>
          <w:sz w:val="28"/>
          <w:szCs w:val="28"/>
        </w:rPr>
        <w:t xml:space="preserve"> </w:t>
      </w:r>
      <w:r>
        <w:rPr>
          <w:rFonts w:ascii="Times New Roman" w:hAnsi="Times New Roman" w:cs="Times New Roman" w:hint="eastAsia"/>
          <w:sz w:val="28"/>
          <w:szCs w:val="28"/>
        </w:rPr>
        <w:t>R</w:t>
      </w:r>
      <w:r w:rsidRPr="008C2413">
        <w:rPr>
          <w:rFonts w:ascii="Times New Roman" w:hAnsi="Times New Roman" w:cs="Times New Roman"/>
          <w:sz w:val="28"/>
          <w:szCs w:val="28"/>
        </w:rPr>
        <w:t>DCs (A total of 229 candidates have been approved by the FDA or are currently in the clinical trial pipeline, while 1823 RDCs have undergone preclinical evaluation with available in vitro and/or in vivo experimental data)</w:t>
      </w:r>
      <w:r>
        <w:rPr>
          <w:rFonts w:ascii="Times New Roman" w:hAnsi="Times New Roman" w:cs="Times New Roman" w:hint="eastAsia"/>
          <w:sz w:val="28"/>
          <w:szCs w:val="28"/>
        </w:rPr>
        <w:t xml:space="preserve">, </w:t>
      </w:r>
      <w:r w:rsidRPr="008C2413">
        <w:rPr>
          <w:rFonts w:ascii="Times New Roman" w:hAnsi="Times New Roman" w:cs="Times New Roman"/>
          <w:sz w:val="28"/>
          <w:szCs w:val="28"/>
        </w:rPr>
        <w:t>together with their explicit pharma-information was</w:t>
      </w:r>
      <w:r>
        <w:rPr>
          <w:rFonts w:ascii="Times New Roman" w:hAnsi="Times New Roman" w:cs="Times New Roman" w:hint="eastAsia"/>
          <w:sz w:val="28"/>
          <w:szCs w:val="28"/>
        </w:rPr>
        <w:t xml:space="preserve"> </w:t>
      </w:r>
      <w:r w:rsidRPr="008C2413">
        <w:rPr>
          <w:rFonts w:ascii="Times New Roman" w:hAnsi="Times New Roman" w:cs="Times New Roman"/>
          <w:sz w:val="28"/>
          <w:szCs w:val="28"/>
        </w:rPr>
        <w:t xml:space="preserve">collected and provided. Moreover, a total of </w:t>
      </w:r>
      <w:r w:rsidR="00823FCB">
        <w:rPr>
          <w:rFonts w:ascii="Times New Roman" w:hAnsi="Times New Roman" w:cs="Times New Roman" w:hint="eastAsia"/>
          <w:sz w:val="28"/>
          <w:szCs w:val="28"/>
        </w:rPr>
        <w:t>1492</w:t>
      </w:r>
      <w:r w:rsidRPr="008C2413">
        <w:rPr>
          <w:rFonts w:ascii="Times New Roman" w:hAnsi="Times New Roman" w:cs="Times New Roman"/>
          <w:sz w:val="28"/>
          <w:szCs w:val="28"/>
        </w:rPr>
        <w:t xml:space="preserve"> literature-reported activities were discovered, which were identified from diverse clinical trial pipelines, </w:t>
      </w:r>
      <w:r w:rsidR="00657197">
        <w:rPr>
          <w:rFonts w:ascii="Times New Roman" w:hAnsi="Times New Roman" w:cs="Times New Roman" w:hint="eastAsia"/>
          <w:sz w:val="28"/>
          <w:szCs w:val="28"/>
        </w:rPr>
        <w:t>cell lines and animal models</w:t>
      </w:r>
      <w:r w:rsidRPr="008C2413">
        <w:rPr>
          <w:rFonts w:ascii="Times New Roman" w:hAnsi="Times New Roman" w:cs="Times New Roman"/>
          <w:sz w:val="28"/>
          <w:szCs w:val="28"/>
        </w:rPr>
        <w:t xml:space="preserve">, etc. </w:t>
      </w:r>
      <w:r w:rsidR="00823FCB" w:rsidRPr="00823FCB">
        <w:rPr>
          <w:rFonts w:ascii="Times New Roman" w:hAnsi="Times New Roman" w:cs="Times New Roman"/>
          <w:sz w:val="28"/>
          <w:szCs w:val="28"/>
        </w:rPr>
        <w:t>Despite their considerable advantages, no existing database is specifically dedicated to the systematic description of the biological activities and comprehensive biological activity and pharma-information of RDCs, and a comprehensive database specifically tailored to curate such data is highly warranted.</w:t>
      </w:r>
    </w:p>
    <w:p w14:paraId="0D26A414" w14:textId="77777777" w:rsidR="004549BF" w:rsidRDefault="004549BF">
      <w:pPr>
        <w:rPr>
          <w:rFonts w:ascii="Times New Roman" w:hAnsi="Times New Roman" w:cs="Times New Roman"/>
          <w:sz w:val="28"/>
          <w:szCs w:val="28"/>
        </w:rPr>
      </w:pPr>
    </w:p>
    <w:p w14:paraId="7CA22273" w14:textId="77777777" w:rsidR="004549BF" w:rsidRDefault="004549BF">
      <w:pPr>
        <w:rPr>
          <w:rFonts w:ascii="Times New Roman" w:hAnsi="Times New Roman" w:cs="Times New Roman"/>
          <w:sz w:val="28"/>
          <w:szCs w:val="28"/>
        </w:rPr>
      </w:pPr>
    </w:p>
    <w:p w14:paraId="5B87F043" w14:textId="77777777" w:rsidR="004549BF" w:rsidRDefault="004549BF">
      <w:pPr>
        <w:rPr>
          <w:rFonts w:ascii="Times New Roman" w:hAnsi="Times New Roman" w:cs="Times New Roman"/>
          <w:sz w:val="28"/>
          <w:szCs w:val="28"/>
        </w:rPr>
      </w:pPr>
    </w:p>
    <w:p w14:paraId="05FD0019" w14:textId="4C95C59A" w:rsidR="00657197" w:rsidRDefault="00F01F3C">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469969F" wp14:editId="718E0DE5">
                <wp:simplePos x="0" y="0"/>
                <wp:positionH relativeFrom="column">
                  <wp:posOffset>-73660</wp:posOffset>
                </wp:positionH>
                <wp:positionV relativeFrom="paragraph">
                  <wp:posOffset>365222</wp:posOffset>
                </wp:positionV>
                <wp:extent cx="5247249" cy="1146517"/>
                <wp:effectExtent l="0" t="0" r="10795" b="15875"/>
                <wp:wrapNone/>
                <wp:docPr id="1351733259" name="矩形 2"/>
                <wp:cNvGraphicFramePr/>
                <a:graphic xmlns:a="http://schemas.openxmlformats.org/drawingml/2006/main">
                  <a:graphicData uri="http://schemas.microsoft.com/office/word/2010/wordprocessingShape">
                    <wps:wsp>
                      <wps:cNvSpPr/>
                      <wps:spPr>
                        <a:xfrm>
                          <a:off x="0" y="0"/>
                          <a:ext cx="5247249" cy="114651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591C6B" id="矩形 2" o:spid="_x0000_s1026" style="position:absolute;margin-left:-5.8pt;margin-top:28.75pt;width:413.15pt;height:90.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" filled="f" strokecolor="#030e13 [484]" strokeweight="1pt"/>
            </w:pict>
          </mc:Fallback>
        </mc:AlternateContent>
      </w:r>
      <w:r w:rsidR="00657197" w:rsidRPr="00657197">
        <w:rPr>
          <w:rFonts w:ascii="Times New Roman" w:hAnsi="Times New Roman" w:cs="Times New Roman" w:hint="eastAsia"/>
          <w:b/>
          <w:bCs/>
          <w:sz w:val="28"/>
          <w:szCs w:val="28"/>
        </w:rPr>
        <w:t xml:space="preserve">What is the </w:t>
      </w:r>
      <w:r w:rsidR="00657197" w:rsidRPr="00657197">
        <w:rPr>
          <w:rFonts w:ascii="Times New Roman" w:hAnsi="Times New Roman" w:cs="Times New Roman"/>
          <w:b/>
          <w:bCs/>
          <w:sz w:val="28"/>
          <w:szCs w:val="28"/>
        </w:rPr>
        <w:t>Radionuclide Drug Conjugates (RDCs)</w:t>
      </w:r>
      <w:r w:rsidR="00657197" w:rsidRPr="00657197">
        <w:rPr>
          <w:rFonts w:ascii="Times New Roman" w:hAnsi="Times New Roman" w:cs="Times New Roman" w:hint="eastAsia"/>
          <w:b/>
          <w:bCs/>
          <w:sz w:val="28"/>
          <w:szCs w:val="28"/>
        </w:rPr>
        <w:t>?</w:t>
      </w:r>
    </w:p>
    <w:p w14:paraId="21ED1201" w14:textId="112F4053" w:rsidR="00F01F3C" w:rsidRDefault="00F01F3C">
      <w:pPr>
        <w:rPr>
          <w:rFonts w:ascii="Times New Roman" w:hAnsi="Times New Roman" w:cs="Times New Roman" w:hint="eastAsia"/>
          <w:b/>
          <w:bCs/>
          <w:sz w:val="28"/>
          <w:szCs w:val="28"/>
        </w:rPr>
      </w:pPr>
      <w:r>
        <w:rPr>
          <w:rFonts w:ascii="Times New Roman" w:hAnsi="Times New Roman" w:cs="Times New Roman" w:hint="eastAsia"/>
          <w:b/>
          <w:bCs/>
          <w:sz w:val="28"/>
          <w:szCs w:val="28"/>
        </w:rPr>
        <w:t>Ligand          Radionuclide     Chelator    Linker</w:t>
      </w:r>
    </w:p>
    <w:p w14:paraId="47635B44" w14:textId="25183732" w:rsidR="00F01F3C" w:rsidRPr="00F01F3C" w:rsidRDefault="00F01F3C" w:rsidP="00F01F3C">
      <w:pPr>
        <w:rPr>
          <w:rFonts w:ascii="Times New Roman" w:hAnsi="Times New Roman" w:cs="Times New Roman" w:hint="eastAsia"/>
          <w:b/>
          <w:bCs/>
          <w:color w:val="000000" w:themeColor="text1"/>
          <w:sz w:val="28"/>
          <w:szCs w:val="28"/>
        </w:rPr>
      </w:pPr>
      <w:r w:rsidRPr="00F01F3C">
        <w:rPr>
          <w:rFonts w:ascii="Times New Roman" w:hAnsi="Times New Roman" w:cs="Times New Roman"/>
          <w:b/>
          <w:bCs/>
          <w:sz w:val="28"/>
          <w:szCs w:val="28"/>
        </w:rPr>
        <w:t>Cold compound</w:t>
      </w:r>
      <w:r>
        <w:rPr>
          <w:rFonts w:ascii="Times New Roman" w:hAnsi="Times New Roman" w:cs="Times New Roman" w:hint="eastAsia"/>
          <w:b/>
          <w:bCs/>
          <w:sz w:val="28"/>
          <w:szCs w:val="28"/>
        </w:rPr>
        <w:t xml:space="preserve">   </w:t>
      </w:r>
      <w:r w:rsidRPr="00F01F3C">
        <w:rPr>
          <w:rFonts w:ascii="Times New Roman" w:hAnsi="Times New Roman" w:cs="Times New Roman" w:hint="eastAsia"/>
          <w:b/>
          <w:bCs/>
          <w:color w:val="000000" w:themeColor="text1"/>
          <w:sz w:val="28"/>
          <w:szCs w:val="28"/>
        </w:rPr>
        <w:t>B</w:t>
      </w:r>
      <w:r w:rsidRPr="00F01F3C">
        <w:rPr>
          <w:rFonts w:ascii="Times New Roman" w:hAnsi="Times New Roman" w:cs="Times New Roman"/>
          <w:b/>
          <w:bCs/>
          <w:color w:val="000000" w:themeColor="text1"/>
          <w:sz w:val="28"/>
          <w:szCs w:val="28"/>
        </w:rPr>
        <w:t>iodistribution</w:t>
      </w:r>
      <w:r>
        <w:rPr>
          <w:rFonts w:ascii="Times New Roman" w:hAnsi="Times New Roman" w:cs="Times New Roman" w:hint="eastAsia"/>
          <w:b/>
          <w:bCs/>
          <w:color w:val="000000" w:themeColor="text1"/>
          <w:sz w:val="28"/>
          <w:szCs w:val="28"/>
        </w:rPr>
        <w:t xml:space="preserve">      </w:t>
      </w:r>
      <w:r w:rsidRPr="00F01F3C">
        <w:rPr>
          <w:rFonts w:ascii="Times New Roman" w:hAnsi="Times New Roman" w:cs="Times New Roman"/>
          <w:b/>
          <w:bCs/>
          <w:color w:val="000000" w:themeColor="text1"/>
          <w:sz w:val="28"/>
          <w:szCs w:val="28"/>
        </w:rPr>
        <w:t>Mechanism of action</w:t>
      </w:r>
    </w:p>
    <w:p w14:paraId="063E3669" w14:textId="49B11ABE" w:rsidR="00F01F3C" w:rsidRDefault="00F01F3C">
      <w:pPr>
        <w:rPr>
          <w:rFonts w:ascii="Times New Roman" w:hAnsi="Times New Roman" w:cs="Times New Roman" w:hint="eastAsia"/>
          <w:b/>
          <w:bCs/>
          <w:sz w:val="28"/>
          <w:szCs w:val="28"/>
        </w:rPr>
      </w:pPr>
    </w:p>
    <w:p w14:paraId="49CF13C6" w14:textId="77777777" w:rsidR="00F01F3C" w:rsidRPr="00F01F3C" w:rsidRDefault="00F01F3C">
      <w:pPr>
        <w:rPr>
          <w:rFonts w:ascii="Times New Roman" w:hAnsi="Times New Roman" w:cs="Times New Roman" w:hint="eastAsia"/>
          <w:b/>
          <w:bCs/>
          <w:sz w:val="28"/>
          <w:szCs w:val="28"/>
        </w:rPr>
      </w:pPr>
    </w:p>
    <w:p w14:paraId="520D182D" w14:textId="3A2EE7FC" w:rsidR="00657197" w:rsidRPr="005F1C31" w:rsidRDefault="00657197">
      <w:pPr>
        <w:rPr>
          <w:rFonts w:ascii="Times New Roman" w:hAnsi="Times New Roman" w:cs="Times New Roman"/>
          <w:b/>
          <w:bCs/>
          <w:color w:val="4EA72E" w:themeColor="accent6"/>
          <w:sz w:val="28"/>
          <w:szCs w:val="28"/>
        </w:rPr>
      </w:pPr>
      <w:r w:rsidRPr="005F1C31">
        <w:rPr>
          <w:rFonts w:ascii="Times New Roman" w:hAnsi="Times New Roman" w:cs="Times New Roman" w:hint="eastAsia"/>
          <w:b/>
          <w:bCs/>
          <w:color w:val="4EA72E" w:themeColor="accent6"/>
          <w:sz w:val="28"/>
          <w:szCs w:val="28"/>
        </w:rPr>
        <w:t>Ligand</w:t>
      </w:r>
    </w:p>
    <w:p w14:paraId="2516995D" w14:textId="63A24D25" w:rsidR="007E442D" w:rsidRPr="007E442D" w:rsidRDefault="005F1C31">
      <w:pPr>
        <w:rPr>
          <w:rFonts w:ascii="Times New Roman" w:hAnsi="Times New Roman" w:cs="Times New Roman"/>
          <w:color w:val="0070C0"/>
          <w:sz w:val="28"/>
          <w:szCs w:val="28"/>
        </w:rPr>
      </w:pPr>
      <w:r w:rsidRPr="005F1C31">
        <w:rPr>
          <w:rFonts w:ascii="Times New Roman" w:hAnsi="Times New Roman" w:cs="Times New Roman" w:hint="eastAsia"/>
          <w:sz w:val="28"/>
          <w:szCs w:val="28"/>
        </w:rPr>
        <w:t xml:space="preserve">The targeting ligand in RDCs </w:t>
      </w:r>
      <w:r w:rsidRPr="005F1C31">
        <w:rPr>
          <w:rFonts w:ascii="Times New Roman" w:hAnsi="Times New Roman" w:cs="Times New Roman"/>
          <w:sz w:val="28"/>
          <w:szCs w:val="28"/>
        </w:rPr>
        <w:t>serves as the crucial mediator for accurat</w:t>
      </w:r>
      <w:r>
        <w:rPr>
          <w:rFonts w:ascii="Times New Roman" w:hAnsi="Times New Roman" w:cs="Times New Roman" w:hint="eastAsia"/>
          <w:sz w:val="28"/>
          <w:szCs w:val="28"/>
        </w:rPr>
        <w:t>ely</w:t>
      </w:r>
      <w:r w:rsidRPr="005F1C31">
        <w:rPr>
          <w:rFonts w:ascii="Times New Roman" w:hAnsi="Times New Roman" w:cs="Times New Roman"/>
          <w:sz w:val="28"/>
          <w:szCs w:val="28"/>
        </w:rPr>
        <w:t xml:space="preserve"> deliver</w:t>
      </w:r>
      <w:r>
        <w:rPr>
          <w:rFonts w:ascii="Times New Roman" w:hAnsi="Times New Roman" w:cs="Times New Roman"/>
          <w:sz w:val="28"/>
          <w:szCs w:val="28"/>
        </w:rPr>
        <w:t>ing</w:t>
      </w:r>
      <w:r w:rsidRPr="005F1C31">
        <w:rPr>
          <w:rFonts w:ascii="Times New Roman" w:hAnsi="Times New Roman" w:cs="Times New Roman"/>
          <w:sz w:val="28"/>
          <w:szCs w:val="28"/>
        </w:rPr>
        <w:t xml:space="preserve"> radionuclides to targe</w:t>
      </w:r>
      <w:r w:rsidRPr="005F1C31">
        <w:rPr>
          <w:rFonts w:ascii="Times New Roman" w:hAnsi="Times New Roman" w:cs="Times New Roman" w:hint="eastAsia"/>
          <w:sz w:val="28"/>
          <w:szCs w:val="28"/>
        </w:rPr>
        <w:t>ts</w:t>
      </w:r>
      <w:r w:rsidRPr="005F1C31">
        <w:rPr>
          <w:rFonts w:ascii="Times New Roman" w:hAnsi="Times New Roman" w:cs="Times New Roman"/>
          <w:sz w:val="28"/>
          <w:szCs w:val="28"/>
        </w:rPr>
        <w:t xml:space="preserve"> on cancer cells</w:t>
      </w:r>
      <w:r w:rsidRPr="005F1C31">
        <w:rPr>
          <w:rFonts w:ascii="Times New Roman" w:hAnsi="Times New Roman" w:cs="Times New Roman" w:hint="eastAsia"/>
          <w:sz w:val="28"/>
          <w:szCs w:val="28"/>
        </w:rPr>
        <w:t xml:space="preserve"> or other </w:t>
      </w:r>
      <w:r w:rsidRPr="005F1C31">
        <w:rPr>
          <w:rFonts w:ascii="Times New Roman" w:hAnsi="Times New Roman" w:cs="Times New Roman"/>
          <w:sz w:val="28"/>
          <w:szCs w:val="28"/>
        </w:rPr>
        <w:t>target cells</w:t>
      </w:r>
      <w:r>
        <w:rPr>
          <w:rFonts w:ascii="Times New Roman" w:hAnsi="Times New Roman" w:cs="Times New Roman" w:hint="eastAsia"/>
          <w:sz w:val="28"/>
          <w:szCs w:val="28"/>
        </w:rPr>
        <w:t xml:space="preserve"> </w:t>
      </w:r>
      <w:r w:rsidRPr="005F1C31">
        <w:rPr>
          <w:rFonts w:ascii="Times New Roman" w:hAnsi="Times New Roman" w:cs="Times New Roman"/>
          <w:sz w:val="28"/>
          <w:szCs w:val="28"/>
        </w:rPr>
        <w:t>through vectors including small molecules, peptides and antibodies</w:t>
      </w:r>
      <w:r>
        <w:rPr>
          <w:rFonts w:ascii="Times New Roman" w:hAnsi="Times New Roman" w:cs="Times New Roman" w:hint="eastAsia"/>
          <w:sz w:val="28"/>
          <w:szCs w:val="28"/>
        </w:rPr>
        <w:t xml:space="preserve"> </w:t>
      </w:r>
      <w:r w:rsidR="007E442D" w:rsidRPr="007E442D">
        <w:rPr>
          <w:rFonts w:ascii="Times New Roman" w:hAnsi="Times New Roman" w:cs="Times New Roman" w:hint="eastAsia"/>
          <w:color w:val="0070C0"/>
          <w:sz w:val="28"/>
          <w:szCs w:val="28"/>
        </w:rPr>
        <w:t>(</w:t>
      </w:r>
      <w:r w:rsidR="007E442D" w:rsidRPr="007E442D">
        <w:rPr>
          <w:rFonts w:ascii="Times New Roman" w:hAnsi="Times New Roman" w:cs="Times New Roman"/>
          <w:color w:val="0070C0"/>
          <w:sz w:val="28"/>
          <w:szCs w:val="28"/>
        </w:rPr>
        <w:t xml:space="preserve">Sig </w:t>
      </w:r>
      <w:proofErr w:type="spellStart"/>
      <w:r w:rsidR="007E442D" w:rsidRPr="007E442D">
        <w:rPr>
          <w:rFonts w:ascii="Times New Roman" w:hAnsi="Times New Roman" w:cs="Times New Roman"/>
          <w:color w:val="0070C0"/>
          <w:sz w:val="28"/>
          <w:szCs w:val="28"/>
        </w:rPr>
        <w:t>Transduct</w:t>
      </w:r>
      <w:proofErr w:type="spellEnd"/>
      <w:r w:rsidR="007E442D" w:rsidRPr="007E442D">
        <w:rPr>
          <w:rFonts w:ascii="Times New Roman" w:hAnsi="Times New Roman" w:cs="Times New Roman"/>
          <w:color w:val="0070C0"/>
          <w:sz w:val="28"/>
          <w:szCs w:val="28"/>
        </w:rPr>
        <w:t xml:space="preserve"> Target Ther 10, 1 </w:t>
      </w:r>
      <w:r w:rsidR="00E24856">
        <w:rPr>
          <w:rFonts w:ascii="Times New Roman" w:hAnsi="Times New Roman" w:cs="Times New Roman" w:hint="eastAsia"/>
          <w:color w:val="0070C0"/>
          <w:sz w:val="28"/>
          <w:szCs w:val="28"/>
        </w:rPr>
        <w:t>,</w:t>
      </w:r>
      <w:r w:rsidR="007E442D" w:rsidRPr="007E442D">
        <w:rPr>
          <w:rFonts w:ascii="Times New Roman" w:hAnsi="Times New Roman" w:cs="Times New Roman"/>
          <w:color w:val="0070C0"/>
          <w:sz w:val="28"/>
          <w:szCs w:val="28"/>
        </w:rPr>
        <w:t>2025</w:t>
      </w:r>
      <w:r w:rsidR="007E442D" w:rsidRPr="007E442D">
        <w:rPr>
          <w:rFonts w:ascii="Times New Roman" w:hAnsi="Times New Roman" w:cs="Times New Roman" w:hint="eastAsia"/>
          <w:color w:val="0070C0"/>
          <w:sz w:val="28"/>
          <w:szCs w:val="28"/>
        </w:rPr>
        <w:t>)</w:t>
      </w:r>
      <w:r w:rsidR="00E24856">
        <w:rPr>
          <w:rFonts w:ascii="Times New Roman" w:hAnsi="Times New Roman" w:cs="Times New Roman" w:hint="eastAsia"/>
          <w:color w:val="0070C0"/>
          <w:sz w:val="28"/>
          <w:szCs w:val="28"/>
        </w:rPr>
        <w:t>.</w:t>
      </w:r>
    </w:p>
    <w:p w14:paraId="14799547" w14:textId="377881C1" w:rsidR="005F1C31" w:rsidRDefault="007E442D">
      <w:pPr>
        <w:rPr>
          <w:rFonts w:ascii="Times New Roman" w:hAnsi="Times New Roman" w:cs="Times New Roman"/>
          <w:sz w:val="28"/>
          <w:szCs w:val="28"/>
        </w:rPr>
      </w:pPr>
      <w:r w:rsidRPr="007E442D">
        <w:rPr>
          <w:rFonts w:ascii="Times New Roman" w:hAnsi="Times New Roman" w:cs="Times New Roman"/>
          <w:sz w:val="28"/>
          <w:szCs w:val="28"/>
        </w:rPr>
        <w:t xml:space="preserve">An ideal ligand should possess suitable binding affinity and specificity for the intended target. Furthermore, this moiety should also exhibit a plasma half‑life compatible with the radionuclide, thereby maximizing therapeutic efficacy while minimizing potential off‑target uptake and </w:t>
      </w:r>
      <w:proofErr w:type="spellStart"/>
      <w:r w:rsidRPr="007E442D">
        <w:rPr>
          <w:rFonts w:ascii="Times New Roman" w:hAnsi="Times New Roman" w:cs="Times New Roman"/>
          <w:sz w:val="28"/>
          <w:szCs w:val="28"/>
        </w:rPr>
        <w:t>hematotoxicity</w:t>
      </w:r>
      <w:proofErr w:type="spellEnd"/>
      <w:r w:rsidRPr="007E442D">
        <w:rPr>
          <w:rFonts w:ascii="Times New Roman" w:hAnsi="Times New Roman" w:cs="Times New Roman"/>
          <w:sz w:val="28"/>
          <w:szCs w:val="28"/>
        </w:rPr>
        <w:t>.</w:t>
      </w:r>
    </w:p>
    <w:p w14:paraId="6CF15BB5" w14:textId="77777777" w:rsidR="007E442D" w:rsidRDefault="007E442D">
      <w:pPr>
        <w:rPr>
          <w:rFonts w:ascii="Times New Roman" w:hAnsi="Times New Roman" w:cs="Times New Roman"/>
          <w:sz w:val="28"/>
          <w:szCs w:val="28"/>
        </w:rPr>
      </w:pPr>
    </w:p>
    <w:p w14:paraId="0773B3C7" w14:textId="63BA307D" w:rsidR="007E442D" w:rsidRPr="007E442D" w:rsidRDefault="007E442D">
      <w:pPr>
        <w:rPr>
          <w:rFonts w:ascii="Times New Roman" w:hAnsi="Times New Roman" w:cs="Times New Roman"/>
          <w:b/>
          <w:bCs/>
          <w:color w:val="E97132" w:themeColor="accent2"/>
          <w:sz w:val="28"/>
          <w:szCs w:val="28"/>
        </w:rPr>
      </w:pPr>
      <w:r w:rsidRPr="007E442D">
        <w:rPr>
          <w:rFonts w:ascii="Times New Roman" w:hAnsi="Times New Roman" w:cs="Times New Roman" w:hint="eastAsia"/>
          <w:b/>
          <w:bCs/>
          <w:color w:val="E97132" w:themeColor="accent2"/>
          <w:sz w:val="28"/>
          <w:szCs w:val="28"/>
        </w:rPr>
        <w:t>Radionuclide</w:t>
      </w:r>
    </w:p>
    <w:p w14:paraId="3C6C2A76" w14:textId="587B487C" w:rsidR="007E442D" w:rsidRDefault="00B7604E">
      <w:pPr>
        <w:rPr>
          <w:rFonts w:ascii="Times New Roman" w:hAnsi="Times New Roman" w:cs="Times New Roman"/>
          <w:color w:val="0070C0"/>
          <w:sz w:val="28"/>
          <w:szCs w:val="28"/>
        </w:rPr>
      </w:pPr>
      <w:r w:rsidRPr="00B7604E">
        <w:rPr>
          <w:rFonts w:ascii="Times New Roman" w:hAnsi="Times New Roman" w:cs="Times New Roman"/>
          <w:sz w:val="28"/>
          <w:szCs w:val="28"/>
        </w:rPr>
        <w:t>Radionuclides, the core of</w:t>
      </w:r>
      <w:r>
        <w:rPr>
          <w:rFonts w:ascii="Times New Roman" w:hAnsi="Times New Roman" w:cs="Times New Roman" w:hint="eastAsia"/>
          <w:sz w:val="28"/>
          <w:szCs w:val="28"/>
        </w:rPr>
        <w:t xml:space="preserve"> RDCs</w:t>
      </w:r>
      <w:r w:rsidRPr="00B7604E">
        <w:rPr>
          <w:rFonts w:ascii="Times New Roman" w:hAnsi="Times New Roman" w:cs="Times New Roman"/>
          <w:sz w:val="28"/>
          <w:szCs w:val="28"/>
        </w:rPr>
        <w:t xml:space="preserve">, are categorized as diagnostic or therapeutic. With PET/SPECT, diagnostic radionuclides enable rapid, precise whole‑body lesion monitoring and noninvasive, quantitative, real‑time target‑expression assessment. Therapeutic radionuclides, via radiation energy, induce DNA single‑ or double‑strand breaks that lead to cell death. </w:t>
      </w:r>
      <w:r>
        <w:rPr>
          <w:rFonts w:ascii="Times New Roman" w:hAnsi="Times New Roman" w:cs="Times New Roman" w:hint="eastAsia"/>
          <w:sz w:val="28"/>
          <w:szCs w:val="28"/>
        </w:rPr>
        <w:t>(</w:t>
      </w:r>
      <w:proofErr w:type="spellStart"/>
      <w:r w:rsidRPr="00B7604E">
        <w:rPr>
          <w:rFonts w:ascii="Times New Roman" w:hAnsi="Times New Roman" w:cs="Times New Roman"/>
          <w:color w:val="0070C0"/>
          <w:sz w:val="28"/>
          <w:szCs w:val="28"/>
        </w:rPr>
        <w:t>Theranostics</w:t>
      </w:r>
      <w:proofErr w:type="spellEnd"/>
      <w:r w:rsidRPr="00B7604E">
        <w:rPr>
          <w:rFonts w:ascii="Times New Roman" w:hAnsi="Times New Roman" w:cs="Times New Roman"/>
          <w:color w:val="0070C0"/>
          <w:sz w:val="28"/>
          <w:szCs w:val="28"/>
        </w:rPr>
        <w:t xml:space="preserve"> 11, 7911–7947</w:t>
      </w:r>
      <w:r w:rsidR="00C87F0B">
        <w:rPr>
          <w:rFonts w:ascii="Times New Roman" w:hAnsi="Times New Roman" w:cs="Times New Roman" w:hint="eastAsia"/>
          <w:color w:val="0070C0"/>
          <w:sz w:val="28"/>
          <w:szCs w:val="28"/>
        </w:rPr>
        <w:t xml:space="preserve">, </w:t>
      </w:r>
      <w:r w:rsidRPr="00B7604E">
        <w:rPr>
          <w:rFonts w:ascii="Times New Roman" w:hAnsi="Times New Roman" w:cs="Times New Roman"/>
          <w:color w:val="0070C0"/>
          <w:sz w:val="28"/>
          <w:szCs w:val="28"/>
        </w:rPr>
        <w:t>2021</w:t>
      </w:r>
      <w:r w:rsidR="00C87F0B">
        <w:rPr>
          <w:rFonts w:ascii="Times New Roman" w:hAnsi="Times New Roman" w:cs="Times New Roman" w:hint="eastAsia"/>
          <w:color w:val="0070C0"/>
          <w:sz w:val="28"/>
          <w:szCs w:val="28"/>
        </w:rPr>
        <w:t>.</w:t>
      </w:r>
      <w:r w:rsidRPr="00B7604E">
        <w:rPr>
          <w:rFonts w:ascii="Times New Roman" w:hAnsi="Times New Roman" w:cs="Times New Roman" w:hint="eastAsia"/>
          <w:color w:val="0070C0"/>
          <w:sz w:val="28"/>
          <w:szCs w:val="28"/>
        </w:rPr>
        <w:t>)</w:t>
      </w:r>
    </w:p>
    <w:p w14:paraId="1F360C79" w14:textId="60FACB1C" w:rsidR="00360B24" w:rsidRPr="00360B24" w:rsidRDefault="00360B24">
      <w:pPr>
        <w:rPr>
          <w:rFonts w:ascii="Times New Roman" w:hAnsi="Times New Roman" w:cs="Times New Roman"/>
          <w:b/>
          <w:bCs/>
          <w:color w:val="E97132" w:themeColor="accent2"/>
          <w:sz w:val="28"/>
          <w:szCs w:val="28"/>
        </w:rPr>
      </w:pPr>
      <w:r w:rsidRPr="00360B24">
        <w:rPr>
          <w:rFonts w:ascii="Times New Roman" w:hAnsi="Times New Roman" w:cs="Times New Roman" w:hint="eastAsia"/>
          <w:b/>
          <w:bCs/>
          <w:color w:val="E97132" w:themeColor="accent2"/>
          <w:sz w:val="28"/>
          <w:szCs w:val="28"/>
        </w:rPr>
        <w:t>Chelator</w:t>
      </w:r>
    </w:p>
    <w:p w14:paraId="14D82EF1" w14:textId="61776320" w:rsidR="00B92750" w:rsidRDefault="005C3872" w:rsidP="005C3872">
      <w:pPr>
        <w:rPr>
          <w:rFonts w:ascii="Times New Roman" w:hAnsi="Times New Roman" w:cs="Times New Roman"/>
          <w:sz w:val="28"/>
          <w:szCs w:val="28"/>
        </w:rPr>
      </w:pPr>
      <w:r w:rsidRPr="005C3872">
        <w:rPr>
          <w:rFonts w:ascii="Times New Roman" w:hAnsi="Times New Roman" w:cs="Times New Roman"/>
          <w:sz w:val="28"/>
          <w:szCs w:val="28"/>
        </w:rPr>
        <w:t xml:space="preserve">In </w:t>
      </w:r>
      <w:r w:rsidR="00B95EB4">
        <w:rPr>
          <w:rFonts w:ascii="Times New Roman" w:hAnsi="Times New Roman" w:cs="Times New Roman" w:hint="eastAsia"/>
          <w:sz w:val="28"/>
          <w:szCs w:val="28"/>
        </w:rPr>
        <w:t>RDCs</w:t>
      </w:r>
      <w:r w:rsidRPr="005C3872">
        <w:rPr>
          <w:rFonts w:ascii="Times New Roman" w:hAnsi="Times New Roman" w:cs="Times New Roman"/>
          <w:sz w:val="28"/>
          <w:szCs w:val="28"/>
        </w:rPr>
        <w:t xml:space="preserve">, the chelator serves as the linker between the radionuclide and the functional ligand, primarily functioning to sequester the radionuclide and prevent its leakage. An ideal chelator exhibits strong coordination ability </w:t>
      </w:r>
      <w:r w:rsidRPr="005C3872">
        <w:rPr>
          <w:rFonts w:ascii="Times New Roman" w:hAnsi="Times New Roman" w:cs="Times New Roman"/>
          <w:sz w:val="28"/>
          <w:szCs w:val="28"/>
        </w:rPr>
        <w:lastRenderedPageBreak/>
        <w:t>as well as high kinetic and thermodynamic stability</w:t>
      </w:r>
      <w:r w:rsidR="00B92750" w:rsidRPr="00B92750">
        <w:rPr>
          <w:rFonts w:hint="eastAsia"/>
        </w:rPr>
        <w:t xml:space="preserve"> </w:t>
      </w:r>
      <w:r w:rsidR="00B92750" w:rsidRPr="00B92750">
        <w:rPr>
          <w:rFonts w:ascii="Times New Roman" w:hAnsi="Times New Roman" w:cs="Times New Roman"/>
          <w:color w:val="0070C0"/>
          <w:sz w:val="28"/>
          <w:szCs w:val="28"/>
        </w:rPr>
        <w:t>(</w:t>
      </w:r>
      <w:r w:rsidR="00B92750" w:rsidRPr="00B92750">
        <w:rPr>
          <w:rFonts w:ascii="Times New Roman" w:hAnsi="Times New Roman" w:cs="Times New Roman" w:hint="eastAsia"/>
          <w:color w:val="0070C0"/>
          <w:sz w:val="28"/>
          <w:szCs w:val="28"/>
        </w:rPr>
        <w:t>Biomedicine &amp; Pharmacotherapy, Volume 165,2023)</w:t>
      </w:r>
      <w:r w:rsidR="00B92750">
        <w:rPr>
          <w:rFonts w:ascii="Times New Roman" w:hAnsi="Times New Roman" w:cs="Times New Roman" w:hint="eastAsia"/>
          <w:sz w:val="28"/>
          <w:szCs w:val="28"/>
        </w:rPr>
        <w:t>.</w:t>
      </w:r>
    </w:p>
    <w:p w14:paraId="6327AE0A" w14:textId="01969502" w:rsidR="00B92750" w:rsidRPr="009B6029" w:rsidRDefault="00B92750" w:rsidP="005C3872">
      <w:pPr>
        <w:rPr>
          <w:rFonts w:ascii="Times New Roman" w:hAnsi="Times New Roman" w:cs="Times New Roman"/>
          <w:color w:val="0070C0"/>
          <w:sz w:val="28"/>
          <w:szCs w:val="28"/>
        </w:rPr>
      </w:pPr>
      <w:r w:rsidRPr="00B92750">
        <w:rPr>
          <w:rFonts w:ascii="Times New Roman" w:hAnsi="Times New Roman" w:cs="Times New Roman"/>
          <w:sz w:val="28"/>
          <w:szCs w:val="28"/>
        </w:rPr>
        <w:t>Currently, an increasing number of chelat</w:t>
      </w:r>
      <w:r>
        <w:rPr>
          <w:rFonts w:ascii="Times New Roman" w:hAnsi="Times New Roman" w:cs="Times New Roman" w:hint="eastAsia"/>
          <w:sz w:val="28"/>
          <w:szCs w:val="28"/>
        </w:rPr>
        <w:t>ors</w:t>
      </w:r>
      <w:r w:rsidRPr="00B92750">
        <w:rPr>
          <w:rFonts w:ascii="Times New Roman" w:hAnsi="Times New Roman" w:cs="Times New Roman"/>
          <w:sz w:val="28"/>
          <w:szCs w:val="28"/>
        </w:rPr>
        <w:t xml:space="preserve"> with more novel structures — based on both macrocyclic and acyclic chelating agents — are being developed, which can effectively enhance chelation efficiency and ensure thermodynamic stability within the complexes</w:t>
      </w:r>
      <w:r w:rsidR="009B6029">
        <w:rPr>
          <w:rFonts w:ascii="Times New Roman" w:hAnsi="Times New Roman" w:cs="Times New Roman" w:hint="eastAsia"/>
          <w:sz w:val="28"/>
          <w:szCs w:val="28"/>
        </w:rPr>
        <w:t xml:space="preserve"> </w:t>
      </w:r>
      <w:r w:rsidR="009B6029" w:rsidRPr="009B6029">
        <w:rPr>
          <w:rFonts w:ascii="Times New Roman" w:hAnsi="Times New Roman" w:cs="Times New Roman" w:hint="eastAsia"/>
          <w:color w:val="0070C0"/>
          <w:sz w:val="28"/>
          <w:szCs w:val="28"/>
        </w:rPr>
        <w:t>(</w:t>
      </w:r>
      <w:proofErr w:type="spellStart"/>
      <w:r w:rsidR="009B6029" w:rsidRPr="009B6029">
        <w:rPr>
          <w:rFonts w:ascii="Times New Roman" w:hAnsi="Times New Roman" w:cs="Times New Roman"/>
          <w:color w:val="0070C0"/>
          <w:sz w:val="28"/>
          <w:szCs w:val="28"/>
        </w:rPr>
        <w:t>Inorg</w:t>
      </w:r>
      <w:proofErr w:type="spellEnd"/>
      <w:r w:rsidR="009B6029" w:rsidRPr="009B6029">
        <w:rPr>
          <w:rFonts w:ascii="Times New Roman" w:hAnsi="Times New Roman" w:cs="Times New Roman"/>
          <w:color w:val="0070C0"/>
          <w:sz w:val="28"/>
          <w:szCs w:val="28"/>
        </w:rPr>
        <w:t>. Chem. 62, 20549−20566</w:t>
      </w:r>
      <w:r w:rsidR="009B6029" w:rsidRPr="009B6029">
        <w:rPr>
          <w:rFonts w:ascii="Times New Roman" w:hAnsi="Times New Roman" w:cs="Times New Roman" w:hint="eastAsia"/>
          <w:color w:val="0070C0"/>
          <w:sz w:val="28"/>
          <w:szCs w:val="28"/>
        </w:rPr>
        <w:t xml:space="preserve">, </w:t>
      </w:r>
      <w:r w:rsidR="009B6029" w:rsidRPr="009B6029">
        <w:rPr>
          <w:rFonts w:ascii="Times New Roman" w:hAnsi="Times New Roman" w:cs="Times New Roman"/>
          <w:color w:val="0070C0"/>
          <w:sz w:val="28"/>
          <w:szCs w:val="28"/>
        </w:rPr>
        <w:t>2023</w:t>
      </w:r>
      <w:r w:rsidR="009B6029" w:rsidRPr="009B6029">
        <w:rPr>
          <w:rFonts w:ascii="Times New Roman" w:hAnsi="Times New Roman" w:cs="Times New Roman" w:hint="eastAsia"/>
          <w:color w:val="0070C0"/>
          <w:sz w:val="28"/>
          <w:szCs w:val="28"/>
        </w:rPr>
        <w:t>)</w:t>
      </w:r>
      <w:r w:rsidRPr="009B6029">
        <w:rPr>
          <w:rFonts w:ascii="Times New Roman" w:hAnsi="Times New Roman" w:cs="Times New Roman" w:hint="eastAsia"/>
          <w:color w:val="0070C0"/>
          <w:sz w:val="28"/>
          <w:szCs w:val="28"/>
        </w:rPr>
        <w:t>.</w:t>
      </w:r>
    </w:p>
    <w:p w14:paraId="307DEA82" w14:textId="35ADAF37" w:rsidR="00AD4718" w:rsidRPr="00AD4718" w:rsidRDefault="00AD4718" w:rsidP="005C3872">
      <w:pPr>
        <w:rPr>
          <w:rFonts w:ascii="Times New Roman" w:hAnsi="Times New Roman" w:cs="Times New Roman"/>
          <w:b/>
          <w:bCs/>
          <w:color w:val="4EA72E" w:themeColor="accent6"/>
          <w:sz w:val="28"/>
          <w:szCs w:val="28"/>
        </w:rPr>
      </w:pPr>
      <w:r w:rsidRPr="00AD4718">
        <w:rPr>
          <w:rFonts w:ascii="Times New Roman" w:hAnsi="Times New Roman" w:cs="Times New Roman" w:hint="eastAsia"/>
          <w:b/>
          <w:bCs/>
          <w:color w:val="4EA72E" w:themeColor="accent6"/>
          <w:sz w:val="28"/>
          <w:szCs w:val="28"/>
        </w:rPr>
        <w:t>Linker</w:t>
      </w:r>
    </w:p>
    <w:p w14:paraId="13EC96F3" w14:textId="056E399D" w:rsidR="00AD4718" w:rsidRDefault="004D3926" w:rsidP="00FA38E2">
      <w:pPr>
        <w:rPr>
          <w:rFonts w:ascii="Times New Roman" w:hAnsi="Times New Roman" w:cs="Times New Roman"/>
          <w:sz w:val="28"/>
          <w:szCs w:val="28"/>
        </w:rPr>
      </w:pPr>
      <w:r w:rsidRPr="004D3926">
        <w:rPr>
          <w:rFonts w:ascii="Times New Roman" w:hAnsi="Times New Roman" w:cs="Times New Roman"/>
          <w:sz w:val="28"/>
          <w:szCs w:val="28"/>
        </w:rPr>
        <w:t xml:space="preserve">The selection of an appropriate linker—responsible for bridging the ligand and the chelator—is critical in RDC design, as it improves in vivo stability (reducing hematological toxicity and radiolytic degradation). Numerous studies have demonstrated that linker modification can further refine pharmacokinetic profiles, including biodistribution, tumor uptake, and tumor‑to‑background ratio. Linkers used in RDC development can be broadly categorized into functional amino acid linkers, linkers conjugated with albumin‑binding moieties, </w:t>
      </w:r>
      <w:r w:rsidRPr="0017286D">
        <w:rPr>
          <w:rFonts w:ascii="Times New Roman" w:hAnsi="Times New Roman" w:cs="Times New Roman"/>
          <w:sz w:val="28"/>
          <w:szCs w:val="28"/>
        </w:rPr>
        <w:t>hydrophilic linkers,</w:t>
      </w:r>
      <w:r w:rsidRPr="004D3926">
        <w:rPr>
          <w:rFonts w:ascii="Times New Roman" w:hAnsi="Times New Roman" w:cs="Times New Roman"/>
          <w:sz w:val="28"/>
          <w:szCs w:val="28"/>
        </w:rPr>
        <w:t xml:space="preserve"> and flexible PEG‑based linkers</w:t>
      </w:r>
      <w:r w:rsidR="00305C3A">
        <w:rPr>
          <w:rFonts w:ascii="Times New Roman" w:hAnsi="Times New Roman" w:cs="Times New Roman" w:hint="eastAsia"/>
          <w:sz w:val="28"/>
          <w:szCs w:val="28"/>
        </w:rPr>
        <w:t>, etc.</w:t>
      </w:r>
      <w:r w:rsidR="00FA38E2">
        <w:rPr>
          <w:rFonts w:ascii="Times New Roman" w:hAnsi="Times New Roman" w:cs="Times New Roman" w:hint="eastAsia"/>
          <w:sz w:val="28"/>
          <w:szCs w:val="28"/>
        </w:rPr>
        <w:t xml:space="preserve"> </w:t>
      </w:r>
      <w:r w:rsidR="00FA38E2" w:rsidRPr="00FA38E2">
        <w:rPr>
          <w:rFonts w:ascii="Times New Roman" w:hAnsi="Times New Roman" w:cs="Times New Roman" w:hint="eastAsia"/>
          <w:color w:val="0070C0"/>
          <w:sz w:val="28"/>
          <w:szCs w:val="28"/>
        </w:rPr>
        <w:t>(Seminars in Nuclear Medicine, 49, 5,</w:t>
      </w:r>
      <w:r w:rsidR="00FA38E2" w:rsidRPr="00FA38E2">
        <w:rPr>
          <w:rFonts w:ascii="Times New Roman" w:hAnsi="Times New Roman" w:cs="Times New Roman"/>
          <w:color w:val="0070C0"/>
          <w:sz w:val="28"/>
          <w:szCs w:val="28"/>
        </w:rPr>
        <w:t>339-356</w:t>
      </w:r>
      <w:r w:rsidR="00FA38E2" w:rsidRPr="00FA38E2">
        <w:rPr>
          <w:rFonts w:ascii="Times New Roman" w:hAnsi="Times New Roman" w:cs="Times New Roman" w:hint="eastAsia"/>
          <w:color w:val="0070C0"/>
          <w:sz w:val="28"/>
          <w:szCs w:val="28"/>
        </w:rPr>
        <w:t>,2019)</w:t>
      </w:r>
      <w:r>
        <w:rPr>
          <w:rFonts w:ascii="Times New Roman" w:hAnsi="Times New Roman" w:cs="Times New Roman" w:hint="eastAsia"/>
          <w:sz w:val="28"/>
          <w:szCs w:val="28"/>
        </w:rPr>
        <w:t>.</w:t>
      </w:r>
    </w:p>
    <w:p w14:paraId="749382D2" w14:textId="427280F9" w:rsidR="000E0553" w:rsidRPr="00BD5A0B" w:rsidRDefault="000E0553" w:rsidP="004D3926">
      <w:pPr>
        <w:rPr>
          <w:rFonts w:ascii="Times New Roman" w:hAnsi="Times New Roman" w:cs="Times New Roman"/>
          <w:b/>
          <w:bCs/>
          <w:color w:val="4EA72E" w:themeColor="accent6"/>
          <w:sz w:val="28"/>
          <w:szCs w:val="28"/>
        </w:rPr>
      </w:pPr>
      <w:r w:rsidRPr="00BD5A0B">
        <w:rPr>
          <w:rFonts w:ascii="Times New Roman" w:hAnsi="Times New Roman" w:cs="Times New Roman" w:hint="eastAsia"/>
          <w:b/>
          <w:bCs/>
          <w:color w:val="4EA72E" w:themeColor="accent6"/>
          <w:sz w:val="28"/>
          <w:szCs w:val="28"/>
        </w:rPr>
        <w:t>Cold compound</w:t>
      </w:r>
    </w:p>
    <w:p w14:paraId="24BFE297" w14:textId="5EE0231B" w:rsidR="000E0553" w:rsidRDefault="00BD5A0B" w:rsidP="004D3926">
      <w:pPr>
        <w:rPr>
          <w:rFonts w:ascii="Times New Roman" w:hAnsi="Times New Roman" w:cs="Times New Roman"/>
          <w:sz w:val="28"/>
          <w:szCs w:val="28"/>
        </w:rPr>
      </w:pPr>
      <w:r w:rsidRPr="00BD5A0B">
        <w:rPr>
          <w:rFonts w:ascii="Times New Roman" w:hAnsi="Times New Roman" w:cs="Times New Roman"/>
          <w:sz w:val="28"/>
          <w:szCs w:val="28"/>
        </w:rPr>
        <w:t xml:space="preserve">A cold compound is defined as a non‑radiolabeled compound. A given chemical structure can be labeled with different radionuclides, thereby enabling </w:t>
      </w:r>
      <w:proofErr w:type="spellStart"/>
      <w:r w:rsidRPr="00BD5A0B">
        <w:rPr>
          <w:rFonts w:ascii="Times New Roman" w:hAnsi="Times New Roman" w:cs="Times New Roman"/>
          <w:sz w:val="28"/>
          <w:szCs w:val="28"/>
        </w:rPr>
        <w:t>theranostic</w:t>
      </w:r>
      <w:proofErr w:type="spellEnd"/>
      <w:r w:rsidRPr="00BD5A0B">
        <w:rPr>
          <w:rFonts w:ascii="Times New Roman" w:hAnsi="Times New Roman" w:cs="Times New Roman"/>
          <w:sz w:val="28"/>
          <w:szCs w:val="28"/>
        </w:rPr>
        <w:t xml:space="preserve"> pairing. Labeling an identical cold compound with </w:t>
      </w:r>
      <w:r w:rsidRPr="00BD5A0B">
        <w:rPr>
          <w:rFonts w:ascii="Times New Roman" w:hAnsi="Times New Roman" w:cs="Times New Roman"/>
          <w:sz w:val="28"/>
          <w:szCs w:val="28"/>
        </w:rPr>
        <w:lastRenderedPageBreak/>
        <w:t>distinct radionuclides elicits different biological behaviors—including variations in chelation stability and in vivo pharmacokinetics—highlighting the importance of matching the radionuclide to the chemical structure</w:t>
      </w:r>
      <w:r w:rsidR="009B6029">
        <w:rPr>
          <w:rFonts w:ascii="Times New Roman" w:hAnsi="Times New Roman" w:cs="Times New Roman" w:hint="eastAsia"/>
          <w:sz w:val="28"/>
          <w:szCs w:val="28"/>
        </w:rPr>
        <w:t xml:space="preserve"> </w:t>
      </w:r>
      <w:r w:rsidR="009B6029" w:rsidRPr="009B6029">
        <w:rPr>
          <w:rFonts w:ascii="Times New Roman" w:hAnsi="Times New Roman" w:cs="Times New Roman" w:hint="eastAsia"/>
          <w:color w:val="0070C0"/>
          <w:sz w:val="28"/>
          <w:szCs w:val="28"/>
        </w:rPr>
        <w:t>(</w:t>
      </w:r>
      <w:proofErr w:type="spellStart"/>
      <w:r w:rsidR="009B6029" w:rsidRPr="009B6029">
        <w:rPr>
          <w:rFonts w:ascii="Times New Roman" w:hAnsi="Times New Roman" w:cs="Times New Roman"/>
          <w:color w:val="0070C0"/>
          <w:sz w:val="28"/>
          <w:szCs w:val="28"/>
        </w:rPr>
        <w:t>Theranostics</w:t>
      </w:r>
      <w:proofErr w:type="spellEnd"/>
      <w:r w:rsidR="009B6029" w:rsidRPr="009B6029">
        <w:rPr>
          <w:rFonts w:ascii="Times New Roman" w:hAnsi="Times New Roman" w:cs="Times New Roman"/>
          <w:color w:val="0070C0"/>
          <w:sz w:val="28"/>
          <w:szCs w:val="28"/>
        </w:rPr>
        <w:t>, 12 (1), 232−259</w:t>
      </w:r>
      <w:r w:rsidR="009B6029" w:rsidRPr="009B6029">
        <w:rPr>
          <w:rFonts w:ascii="Times New Roman" w:hAnsi="Times New Roman" w:cs="Times New Roman" w:hint="eastAsia"/>
          <w:color w:val="0070C0"/>
          <w:sz w:val="28"/>
          <w:szCs w:val="28"/>
        </w:rPr>
        <w:t>,</w:t>
      </w:r>
      <w:r w:rsidR="009B6029" w:rsidRPr="009B6029">
        <w:rPr>
          <w:rFonts w:ascii="Times New Roman" w:hAnsi="Times New Roman" w:cs="Times New Roman"/>
          <w:color w:val="0070C0"/>
          <w:sz w:val="28"/>
          <w:szCs w:val="28"/>
        </w:rPr>
        <w:t xml:space="preserve"> 2022</w:t>
      </w:r>
      <w:r w:rsidR="009B6029" w:rsidRPr="009B6029">
        <w:rPr>
          <w:rFonts w:ascii="Times New Roman" w:hAnsi="Times New Roman" w:cs="Times New Roman" w:hint="eastAsia"/>
          <w:color w:val="0070C0"/>
          <w:sz w:val="28"/>
          <w:szCs w:val="28"/>
        </w:rPr>
        <w:t>)</w:t>
      </w:r>
      <w:r w:rsidRPr="009B6029">
        <w:rPr>
          <w:rFonts w:ascii="Times New Roman" w:hAnsi="Times New Roman" w:cs="Times New Roman" w:hint="eastAsia"/>
          <w:color w:val="0070C0"/>
          <w:sz w:val="28"/>
          <w:szCs w:val="28"/>
        </w:rPr>
        <w:t>.</w:t>
      </w:r>
    </w:p>
    <w:p w14:paraId="422CC605" w14:textId="433A6E7E" w:rsidR="004D3926" w:rsidRDefault="004D3926" w:rsidP="004D3926">
      <w:pPr>
        <w:rPr>
          <w:rFonts w:ascii="Times New Roman" w:hAnsi="Times New Roman" w:cs="Times New Roman"/>
          <w:b/>
          <w:bCs/>
          <w:color w:val="4EA72E" w:themeColor="accent6"/>
          <w:sz w:val="28"/>
          <w:szCs w:val="28"/>
        </w:rPr>
      </w:pPr>
      <w:r w:rsidRPr="004D3926">
        <w:rPr>
          <w:rFonts w:ascii="Times New Roman" w:hAnsi="Times New Roman" w:cs="Times New Roman" w:hint="eastAsia"/>
          <w:b/>
          <w:bCs/>
          <w:color w:val="4EA72E" w:themeColor="accent6"/>
          <w:sz w:val="28"/>
          <w:szCs w:val="28"/>
        </w:rPr>
        <w:t>B</w:t>
      </w:r>
      <w:r w:rsidRPr="004D3926">
        <w:rPr>
          <w:rFonts w:ascii="Times New Roman" w:hAnsi="Times New Roman" w:cs="Times New Roman"/>
          <w:b/>
          <w:bCs/>
          <w:color w:val="4EA72E" w:themeColor="accent6"/>
          <w:sz w:val="28"/>
          <w:szCs w:val="28"/>
        </w:rPr>
        <w:t>iodistribution</w:t>
      </w:r>
    </w:p>
    <w:p w14:paraId="2B1BD358" w14:textId="3FC2CFCC" w:rsidR="004D3926" w:rsidRDefault="000E0553" w:rsidP="004D3926">
      <w:pPr>
        <w:rPr>
          <w:rFonts w:ascii="Times New Roman" w:hAnsi="Times New Roman" w:cs="Times New Roman"/>
          <w:sz w:val="28"/>
          <w:szCs w:val="28"/>
        </w:rPr>
      </w:pPr>
      <w:r w:rsidRPr="000E0553">
        <w:rPr>
          <w:rFonts w:ascii="Times New Roman" w:hAnsi="Times New Roman" w:cs="Times New Roman"/>
          <w:sz w:val="28"/>
          <w:szCs w:val="28"/>
        </w:rPr>
        <w:t>In contrast to conventional biologics, greater emphasis is placed on tumor uptake and off-target accumulation in radionuclide drug conjugates (RDCs), and structural optimization is employed to suppress off-target uptake and thereby reduce off-target toxicity</w:t>
      </w:r>
      <w:r w:rsidR="00C87F0B">
        <w:rPr>
          <w:rFonts w:ascii="Times New Roman" w:hAnsi="Times New Roman" w:cs="Times New Roman" w:hint="eastAsia"/>
          <w:sz w:val="28"/>
          <w:szCs w:val="28"/>
        </w:rPr>
        <w:t xml:space="preserve"> (</w:t>
      </w:r>
      <w:r w:rsidR="00C87F0B" w:rsidRPr="00C87F0B">
        <w:rPr>
          <w:rFonts w:ascii="Times New Roman" w:hAnsi="Times New Roman" w:cs="Times New Roman"/>
          <w:i/>
          <w:iCs/>
          <w:color w:val="0070C0"/>
          <w:sz w:val="28"/>
          <w:szCs w:val="28"/>
        </w:rPr>
        <w:t>Nature</w:t>
      </w:r>
      <w:r w:rsidR="00C87F0B" w:rsidRPr="00C87F0B">
        <w:rPr>
          <w:rFonts w:ascii="Times New Roman" w:hAnsi="Times New Roman" w:cs="Times New Roman"/>
          <w:color w:val="0070C0"/>
          <w:sz w:val="28"/>
          <w:szCs w:val="28"/>
        </w:rPr>
        <w:t> </w:t>
      </w:r>
      <w:r w:rsidR="00C87F0B" w:rsidRPr="00C87F0B">
        <w:rPr>
          <w:rFonts w:ascii="Times New Roman" w:hAnsi="Times New Roman" w:cs="Times New Roman"/>
          <w:b/>
          <w:bCs/>
          <w:color w:val="0070C0"/>
          <w:sz w:val="28"/>
          <w:szCs w:val="28"/>
        </w:rPr>
        <w:t>630</w:t>
      </w:r>
      <w:r w:rsidR="00C87F0B" w:rsidRPr="00C87F0B">
        <w:rPr>
          <w:rFonts w:ascii="Times New Roman" w:hAnsi="Times New Roman" w:cs="Times New Roman"/>
          <w:color w:val="0070C0"/>
          <w:sz w:val="28"/>
          <w:szCs w:val="28"/>
        </w:rPr>
        <w:t>, 206–213</w:t>
      </w:r>
      <w:r w:rsidR="00C87F0B" w:rsidRPr="00C87F0B">
        <w:rPr>
          <w:rFonts w:ascii="Times New Roman" w:hAnsi="Times New Roman" w:cs="Times New Roman" w:hint="eastAsia"/>
          <w:color w:val="0070C0"/>
          <w:sz w:val="28"/>
          <w:szCs w:val="28"/>
        </w:rPr>
        <w:t xml:space="preserve">, </w:t>
      </w:r>
      <w:r w:rsidR="00C87F0B" w:rsidRPr="00C87F0B">
        <w:rPr>
          <w:rFonts w:ascii="Times New Roman" w:hAnsi="Times New Roman" w:cs="Times New Roman"/>
          <w:color w:val="0070C0"/>
          <w:sz w:val="28"/>
          <w:szCs w:val="28"/>
        </w:rPr>
        <w:t>2024</w:t>
      </w:r>
      <w:r w:rsidR="00C87F0B">
        <w:rPr>
          <w:rFonts w:ascii="Times New Roman" w:hAnsi="Times New Roman" w:cs="Times New Roman" w:hint="eastAsia"/>
          <w:sz w:val="28"/>
          <w:szCs w:val="28"/>
        </w:rPr>
        <w:t>)</w:t>
      </w:r>
      <w:r w:rsidRPr="000E0553">
        <w:rPr>
          <w:rFonts w:ascii="Times New Roman" w:hAnsi="Times New Roman" w:cs="Times New Roman"/>
          <w:sz w:val="28"/>
          <w:szCs w:val="28"/>
        </w:rPr>
        <w:t>. Small-molecule ligand-based RDCs exhibit limited tumor retention owing to their rapid metabolic clearance, which compromises therapeutic efficacy. Antibody-based RDCs, by virtue of the prolonged circulation half-life of the antibody, frequently induce hematological toxicity and high background signals. Peptide-based RDCs, conversely, demonstrate marked accumulation in metabolic organs—particularly the kidneys—due to renal processing, substantially restricting in vivo investigations. To date, numerous strategies have been devised to modulate the absorption, distribution, metabolism, and excretion (ADME) profiles of RDCs, such as extending tumor residence time, fine-tuning the half-life, and accelerating renal clearance. Collectively, these approaches can effectively enhance tumor uptake and retention, increase the tumor-to-background ratio, and reduce RDC accumulation in non-target metabolic organs.</w:t>
      </w:r>
    </w:p>
    <w:p w14:paraId="6003C441" w14:textId="58895FD4" w:rsidR="000E0553" w:rsidRDefault="000E0553" w:rsidP="004D3926">
      <w:pPr>
        <w:rPr>
          <w:rFonts w:ascii="Times New Roman" w:hAnsi="Times New Roman" w:cs="Times New Roman"/>
          <w:b/>
          <w:bCs/>
          <w:sz w:val="28"/>
          <w:szCs w:val="28"/>
        </w:rPr>
      </w:pPr>
      <w:bookmarkStart w:id="0" w:name="OLE_LINK1"/>
      <w:r w:rsidRPr="000E0553">
        <w:rPr>
          <w:rFonts w:ascii="Times New Roman" w:hAnsi="Times New Roman" w:cs="Times New Roman"/>
          <w:b/>
          <w:bCs/>
          <w:sz w:val="28"/>
          <w:szCs w:val="28"/>
        </w:rPr>
        <w:lastRenderedPageBreak/>
        <w:t>Mechanism of action</w:t>
      </w:r>
    </w:p>
    <w:bookmarkEnd w:id="0"/>
    <w:p w14:paraId="36487FA6" w14:textId="73A5448A" w:rsidR="000E0553" w:rsidRPr="000E0553" w:rsidRDefault="001C34D0" w:rsidP="004D3926">
      <w:pPr>
        <w:rPr>
          <w:rFonts w:ascii="Times New Roman" w:hAnsi="Times New Roman" w:cs="Times New Roman"/>
          <w:sz w:val="28"/>
          <w:szCs w:val="28"/>
        </w:rPr>
      </w:pPr>
      <w:r>
        <w:rPr>
          <w:rFonts w:ascii="Times New Roman" w:hAnsi="Times New Roman" w:cs="Times New Roman" w:hint="eastAsia"/>
          <w:sz w:val="28"/>
          <w:szCs w:val="28"/>
        </w:rPr>
        <w:t xml:space="preserve">RDCs </w:t>
      </w:r>
      <w:r w:rsidRPr="001C34D0">
        <w:rPr>
          <w:rFonts w:ascii="Times New Roman" w:hAnsi="Times New Roman" w:cs="Times New Roman"/>
          <w:sz w:val="28"/>
          <w:szCs w:val="28"/>
        </w:rPr>
        <w:t xml:space="preserve">permit precise, ligand‑mediated delivery of radionuclides to targets that are selectively expressed on the surface of cancer cells. Upon target binding, therapeutic RDCs (β‑ and α‑emitters) elicit direct cell death via radiation‑induced single‑ or double‑stranded DNA breaks, base damage, and crosslinks. </w:t>
      </w:r>
      <w:r w:rsidR="001B09CD">
        <w:rPr>
          <w:rFonts w:ascii="Times New Roman" w:hAnsi="Times New Roman" w:cs="Times New Roman"/>
          <w:sz w:val="28"/>
          <w:szCs w:val="28"/>
        </w:rPr>
        <w:t>B</w:t>
      </w:r>
      <w:r w:rsidR="001B09CD">
        <w:rPr>
          <w:rFonts w:ascii="Times New Roman" w:hAnsi="Times New Roman" w:cs="Times New Roman" w:hint="eastAsia"/>
          <w:sz w:val="28"/>
          <w:szCs w:val="28"/>
        </w:rPr>
        <w:t>esides, t</w:t>
      </w:r>
      <w:r w:rsidR="001B09CD" w:rsidRPr="001B09CD">
        <w:rPr>
          <w:rFonts w:ascii="Times New Roman" w:hAnsi="Times New Roman" w:cs="Times New Roman"/>
          <w:sz w:val="28"/>
          <w:szCs w:val="28"/>
        </w:rPr>
        <w:t xml:space="preserve">his emerging clinical cancer therapy integrates intrinsic </w:t>
      </w:r>
      <w:proofErr w:type="spellStart"/>
      <w:r w:rsidR="001B09CD" w:rsidRPr="001B09CD">
        <w:rPr>
          <w:rFonts w:ascii="Times New Roman" w:hAnsi="Times New Roman" w:cs="Times New Roman"/>
          <w:sz w:val="28"/>
          <w:szCs w:val="28"/>
        </w:rPr>
        <w:t>theranostic</w:t>
      </w:r>
      <w:proofErr w:type="spellEnd"/>
      <w:r w:rsidR="001B09CD" w:rsidRPr="001B09CD">
        <w:rPr>
          <w:rFonts w:ascii="Times New Roman" w:hAnsi="Times New Roman" w:cs="Times New Roman"/>
          <w:sz w:val="28"/>
          <w:szCs w:val="28"/>
        </w:rPr>
        <w:t xml:space="preserve"> capabilities with a “crossfire” mechanism—killing cancer cells even without direct targeting—and functions independently of the biological routes used for binding targets</w:t>
      </w:r>
      <w:r w:rsidR="001B09CD">
        <w:rPr>
          <w:rFonts w:ascii="Times New Roman" w:hAnsi="Times New Roman" w:cs="Times New Roman" w:hint="eastAsia"/>
          <w:sz w:val="28"/>
          <w:szCs w:val="28"/>
        </w:rPr>
        <w:t xml:space="preserve"> (</w:t>
      </w:r>
      <w:r w:rsidR="001B09CD" w:rsidRPr="001B09CD">
        <w:rPr>
          <w:rFonts w:ascii="Times New Roman" w:hAnsi="Times New Roman" w:cs="Times New Roman"/>
          <w:color w:val="0070C0"/>
          <w:sz w:val="28"/>
          <w:szCs w:val="28"/>
        </w:rPr>
        <w:t xml:space="preserve">Nat. Rev. Drug </w:t>
      </w:r>
      <w:proofErr w:type="spellStart"/>
      <w:r w:rsidR="001B09CD" w:rsidRPr="001B09CD">
        <w:rPr>
          <w:rFonts w:ascii="Times New Roman" w:hAnsi="Times New Roman" w:cs="Times New Roman"/>
          <w:color w:val="0070C0"/>
          <w:sz w:val="28"/>
          <w:szCs w:val="28"/>
        </w:rPr>
        <w:t>Discov</w:t>
      </w:r>
      <w:proofErr w:type="spellEnd"/>
      <w:r w:rsidR="001B09CD" w:rsidRPr="001B09CD">
        <w:rPr>
          <w:rFonts w:ascii="Times New Roman" w:hAnsi="Times New Roman" w:cs="Times New Roman"/>
          <w:color w:val="0070C0"/>
          <w:sz w:val="28"/>
          <w:szCs w:val="28"/>
        </w:rPr>
        <w:t>. 19, 589–608</w:t>
      </w:r>
      <w:r w:rsidR="001B09CD" w:rsidRPr="001B09CD">
        <w:rPr>
          <w:rFonts w:ascii="Times New Roman" w:hAnsi="Times New Roman" w:cs="Times New Roman" w:hint="eastAsia"/>
          <w:color w:val="0070C0"/>
          <w:sz w:val="28"/>
          <w:szCs w:val="28"/>
        </w:rPr>
        <w:t xml:space="preserve">, </w:t>
      </w:r>
      <w:r w:rsidR="001B09CD" w:rsidRPr="001B09CD">
        <w:rPr>
          <w:rFonts w:ascii="Times New Roman" w:hAnsi="Times New Roman" w:cs="Times New Roman"/>
          <w:color w:val="0070C0"/>
          <w:sz w:val="28"/>
          <w:szCs w:val="28"/>
        </w:rPr>
        <w:t>2020</w:t>
      </w:r>
      <w:r w:rsidR="001B09CD" w:rsidRPr="001B09CD">
        <w:rPr>
          <w:rFonts w:ascii="Times New Roman" w:hAnsi="Times New Roman" w:cs="Times New Roman"/>
          <w:sz w:val="28"/>
          <w:szCs w:val="28"/>
        </w:rPr>
        <w:t>).</w:t>
      </w:r>
      <w:r w:rsidR="001B09CD">
        <w:rPr>
          <w:rFonts w:ascii="Times New Roman" w:hAnsi="Times New Roman" w:cs="Times New Roman" w:hint="eastAsia"/>
          <w:sz w:val="28"/>
          <w:szCs w:val="28"/>
        </w:rPr>
        <w:t xml:space="preserve"> </w:t>
      </w:r>
      <w:r w:rsidRPr="001C34D0">
        <w:rPr>
          <w:rFonts w:ascii="Times New Roman" w:hAnsi="Times New Roman" w:cs="Times New Roman"/>
          <w:sz w:val="28"/>
          <w:szCs w:val="28"/>
        </w:rPr>
        <w:t>Diagnostic RDCs</w:t>
      </w:r>
      <w:r>
        <w:rPr>
          <w:rFonts w:ascii="Times New Roman" w:hAnsi="Times New Roman" w:cs="Times New Roman" w:hint="eastAsia"/>
          <w:sz w:val="28"/>
          <w:szCs w:val="28"/>
        </w:rPr>
        <w:t xml:space="preserve"> (</w:t>
      </w:r>
      <w:r>
        <w:rPr>
          <w:rFonts w:ascii="Times New Roman" w:hAnsi="Times New Roman" w:cs="Times New Roman" w:hint="eastAsia"/>
          <w:sz w:val="28"/>
          <w:szCs w:val="28"/>
        </w:rPr>
        <w:t>γ</w:t>
      </w:r>
      <w:r w:rsidRPr="001C34D0">
        <w:rPr>
          <w:rFonts w:ascii="Times New Roman" w:hAnsi="Times New Roman" w:cs="Times New Roman"/>
          <w:sz w:val="28"/>
          <w:szCs w:val="28"/>
        </w:rPr>
        <w:t>‑emitters</w:t>
      </w:r>
      <w:r>
        <w:rPr>
          <w:rFonts w:ascii="Times New Roman" w:hAnsi="Times New Roman" w:cs="Times New Roman" w:hint="eastAsia"/>
          <w:sz w:val="28"/>
          <w:szCs w:val="28"/>
        </w:rPr>
        <w:t>)</w:t>
      </w:r>
      <w:r w:rsidRPr="001C34D0">
        <w:rPr>
          <w:rFonts w:ascii="Times New Roman" w:hAnsi="Times New Roman" w:cs="Times New Roman"/>
          <w:sz w:val="28"/>
          <w:szCs w:val="28"/>
        </w:rPr>
        <w:t>, when paired with positron emission tomography (PET) or single‑photon emission computed tomography (SPECT), enable non‑invasive, quantitative, real‑time evaluation of target expression in lesions</w:t>
      </w:r>
      <w:r w:rsidR="00C87F0B">
        <w:rPr>
          <w:rFonts w:ascii="Times New Roman" w:hAnsi="Times New Roman" w:cs="Times New Roman" w:hint="eastAsia"/>
          <w:sz w:val="28"/>
          <w:szCs w:val="28"/>
        </w:rPr>
        <w:t xml:space="preserve"> (</w:t>
      </w:r>
      <w:r w:rsidR="00C87F0B" w:rsidRPr="00C87F0B">
        <w:rPr>
          <w:rFonts w:ascii="Times New Roman" w:hAnsi="Times New Roman" w:cs="Times New Roman"/>
          <w:color w:val="0070C0"/>
          <w:sz w:val="28"/>
          <w:szCs w:val="28"/>
        </w:rPr>
        <w:t>Nat. Med. 28, 606–608 2022</w:t>
      </w:r>
      <w:r w:rsidR="00C87F0B" w:rsidRPr="00C87F0B">
        <w:rPr>
          <w:rFonts w:ascii="Times New Roman" w:hAnsi="Times New Roman" w:cs="Times New Roman"/>
          <w:sz w:val="28"/>
          <w:szCs w:val="28"/>
        </w:rPr>
        <w:t>)</w:t>
      </w:r>
      <w:r w:rsidRPr="001C34D0">
        <w:rPr>
          <w:rFonts w:ascii="Times New Roman" w:hAnsi="Times New Roman" w:cs="Times New Roman"/>
          <w:sz w:val="28"/>
          <w:szCs w:val="28"/>
        </w:rPr>
        <w:t>.</w:t>
      </w:r>
    </w:p>
    <w:sectPr w:rsidR="000E0553" w:rsidRPr="000E05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57"/>
    <w:rsid w:val="000E0553"/>
    <w:rsid w:val="0017286D"/>
    <w:rsid w:val="001B09CD"/>
    <w:rsid w:val="001C34D0"/>
    <w:rsid w:val="001C3E92"/>
    <w:rsid w:val="002C5F41"/>
    <w:rsid w:val="00305C3A"/>
    <w:rsid w:val="00360B24"/>
    <w:rsid w:val="004549BF"/>
    <w:rsid w:val="00493376"/>
    <w:rsid w:val="004D3926"/>
    <w:rsid w:val="005C3872"/>
    <w:rsid w:val="005E76B6"/>
    <w:rsid w:val="005F1C31"/>
    <w:rsid w:val="006136BB"/>
    <w:rsid w:val="00657197"/>
    <w:rsid w:val="006962D9"/>
    <w:rsid w:val="006E4410"/>
    <w:rsid w:val="007D2412"/>
    <w:rsid w:val="007E442D"/>
    <w:rsid w:val="00823FCB"/>
    <w:rsid w:val="008C2413"/>
    <w:rsid w:val="009B6029"/>
    <w:rsid w:val="00AD4718"/>
    <w:rsid w:val="00AE6C57"/>
    <w:rsid w:val="00B57EF1"/>
    <w:rsid w:val="00B7604E"/>
    <w:rsid w:val="00B84F3C"/>
    <w:rsid w:val="00B92750"/>
    <w:rsid w:val="00B95EB4"/>
    <w:rsid w:val="00BD5A0B"/>
    <w:rsid w:val="00C87F0B"/>
    <w:rsid w:val="00E24856"/>
    <w:rsid w:val="00F01F3C"/>
    <w:rsid w:val="00FA3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91CF"/>
  <w15:chartTrackingRefBased/>
  <w15:docId w15:val="{746AD821-128B-43A4-8A37-DE690868C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6C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6C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6C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6C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6C5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E6C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6C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6C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E6C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C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6C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6C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6C57"/>
    <w:rPr>
      <w:rFonts w:cstheme="majorBidi"/>
      <w:color w:val="0F4761" w:themeColor="accent1" w:themeShade="BF"/>
      <w:sz w:val="28"/>
      <w:szCs w:val="28"/>
    </w:rPr>
  </w:style>
  <w:style w:type="character" w:customStyle="1" w:styleId="50">
    <w:name w:val="标题 5 字符"/>
    <w:basedOn w:val="a0"/>
    <w:link w:val="5"/>
    <w:uiPriority w:val="9"/>
    <w:semiHidden/>
    <w:rsid w:val="00AE6C57"/>
    <w:rPr>
      <w:rFonts w:cstheme="majorBidi"/>
      <w:color w:val="0F4761" w:themeColor="accent1" w:themeShade="BF"/>
      <w:sz w:val="24"/>
      <w:szCs w:val="24"/>
    </w:rPr>
  </w:style>
  <w:style w:type="character" w:customStyle="1" w:styleId="60">
    <w:name w:val="标题 6 字符"/>
    <w:basedOn w:val="a0"/>
    <w:link w:val="6"/>
    <w:uiPriority w:val="9"/>
    <w:semiHidden/>
    <w:rsid w:val="00AE6C57"/>
    <w:rPr>
      <w:rFonts w:cstheme="majorBidi"/>
      <w:b/>
      <w:bCs/>
      <w:color w:val="0F4761" w:themeColor="accent1" w:themeShade="BF"/>
    </w:rPr>
  </w:style>
  <w:style w:type="character" w:customStyle="1" w:styleId="70">
    <w:name w:val="标题 7 字符"/>
    <w:basedOn w:val="a0"/>
    <w:link w:val="7"/>
    <w:uiPriority w:val="9"/>
    <w:semiHidden/>
    <w:rsid w:val="00AE6C57"/>
    <w:rPr>
      <w:rFonts w:cstheme="majorBidi"/>
      <w:b/>
      <w:bCs/>
      <w:color w:val="595959" w:themeColor="text1" w:themeTint="A6"/>
    </w:rPr>
  </w:style>
  <w:style w:type="character" w:customStyle="1" w:styleId="80">
    <w:name w:val="标题 8 字符"/>
    <w:basedOn w:val="a0"/>
    <w:link w:val="8"/>
    <w:uiPriority w:val="9"/>
    <w:semiHidden/>
    <w:rsid w:val="00AE6C57"/>
    <w:rPr>
      <w:rFonts w:cstheme="majorBidi"/>
      <w:color w:val="595959" w:themeColor="text1" w:themeTint="A6"/>
    </w:rPr>
  </w:style>
  <w:style w:type="character" w:customStyle="1" w:styleId="90">
    <w:name w:val="标题 9 字符"/>
    <w:basedOn w:val="a0"/>
    <w:link w:val="9"/>
    <w:uiPriority w:val="9"/>
    <w:semiHidden/>
    <w:rsid w:val="00AE6C57"/>
    <w:rPr>
      <w:rFonts w:eastAsiaTheme="majorEastAsia" w:cstheme="majorBidi"/>
      <w:color w:val="595959" w:themeColor="text1" w:themeTint="A6"/>
    </w:rPr>
  </w:style>
  <w:style w:type="paragraph" w:styleId="a3">
    <w:name w:val="Title"/>
    <w:basedOn w:val="a"/>
    <w:next w:val="a"/>
    <w:link w:val="a4"/>
    <w:uiPriority w:val="10"/>
    <w:qFormat/>
    <w:rsid w:val="00AE6C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C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C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6C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C57"/>
    <w:pPr>
      <w:spacing w:before="160" w:after="160"/>
      <w:jc w:val="center"/>
    </w:pPr>
    <w:rPr>
      <w:i/>
      <w:iCs/>
      <w:color w:val="404040" w:themeColor="text1" w:themeTint="BF"/>
    </w:rPr>
  </w:style>
  <w:style w:type="character" w:customStyle="1" w:styleId="a8">
    <w:name w:val="引用 字符"/>
    <w:basedOn w:val="a0"/>
    <w:link w:val="a7"/>
    <w:uiPriority w:val="29"/>
    <w:rsid w:val="00AE6C57"/>
    <w:rPr>
      <w:i/>
      <w:iCs/>
      <w:color w:val="404040" w:themeColor="text1" w:themeTint="BF"/>
    </w:rPr>
  </w:style>
  <w:style w:type="paragraph" w:styleId="a9">
    <w:name w:val="List Paragraph"/>
    <w:basedOn w:val="a"/>
    <w:uiPriority w:val="34"/>
    <w:qFormat/>
    <w:rsid w:val="00AE6C57"/>
    <w:pPr>
      <w:ind w:left="720"/>
      <w:contextualSpacing/>
    </w:pPr>
  </w:style>
  <w:style w:type="character" w:styleId="aa">
    <w:name w:val="Intense Emphasis"/>
    <w:basedOn w:val="a0"/>
    <w:uiPriority w:val="21"/>
    <w:qFormat/>
    <w:rsid w:val="00AE6C57"/>
    <w:rPr>
      <w:i/>
      <w:iCs/>
      <w:color w:val="0F4761" w:themeColor="accent1" w:themeShade="BF"/>
    </w:rPr>
  </w:style>
  <w:style w:type="paragraph" w:styleId="ab">
    <w:name w:val="Intense Quote"/>
    <w:basedOn w:val="a"/>
    <w:next w:val="a"/>
    <w:link w:val="ac"/>
    <w:uiPriority w:val="30"/>
    <w:qFormat/>
    <w:rsid w:val="00AE6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6C57"/>
    <w:rPr>
      <w:i/>
      <w:iCs/>
      <w:color w:val="0F4761" w:themeColor="accent1" w:themeShade="BF"/>
    </w:rPr>
  </w:style>
  <w:style w:type="character" w:styleId="ad">
    <w:name w:val="Intense Reference"/>
    <w:basedOn w:val="a0"/>
    <w:uiPriority w:val="32"/>
    <w:qFormat/>
    <w:rsid w:val="00AE6C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2360</TotalTime>
  <Pages>5</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M</dc:creator>
  <cp:keywords/>
  <dc:description/>
  <cp:lastModifiedBy>JL M</cp:lastModifiedBy>
  <cp:revision>12</cp:revision>
  <dcterms:created xsi:type="dcterms:W3CDTF">2026-06-01T08:11:00Z</dcterms:created>
  <dcterms:modified xsi:type="dcterms:W3CDTF">2026-06-08T01:34:00Z</dcterms:modified>
</cp:coreProperties>
</file>