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A1CA9">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highlight w:val="cyan"/>
        </w:rPr>
      </w:pPr>
      <w:r>
        <w:rPr>
          <w:rFonts w:ascii="Times New Roman" w:hAnsi="Times New Roman" w:cs="Times New Roman"/>
          <w:sz w:val="24"/>
          <w:highlight w:val="cyan"/>
        </w:rPr>
        <w:t>Search for Radionuclide-Drug Conjugate Information for Particular Drug Entity in RDCdb</w:t>
      </w:r>
    </w:p>
    <w:p w14:paraId="451A483A">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In the “RDC Search” section, users can search the full-text content of the RDCdb database to identify relevant RDC entries by entering keywords such as RDC drug names, target names, ligand names, linker names, radionuclide names, chelator names, and other related terms.</w:t>
      </w:r>
    </w:p>
    <w:p w14:paraId="1C51A1D4">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To perform a search, users simply enter a keyword in the main search box and submit the query. The search results page will display comprehensive information on all RDC drugs directly associated with the search term, including the RDC name, drug development stage, drug type, ligand name, linker name, chelator name, radionuclide name, and detailed links to the corresponding target information.</w:t>
      </w:r>
    </w:p>
    <w:p w14:paraId="02BA03CF">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p>
    <w:p w14:paraId="3530BBBF">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In order to facilitate a more customized input query, the wild characters of “?” are also supported.</w:t>
      </w:r>
    </w:p>
    <w:p w14:paraId="606364CA">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(1) If search “[68Ga]Ga-C1-FAP-2286”, find a single API entry which is named “[68Ga]Ga-C1-FAP-2286”;</w:t>
      </w:r>
    </w:p>
    <w:p w14:paraId="601E9457">
      <w:pPr>
        <w:keepNext w:val="0"/>
        <w:keepLines w:val="0"/>
        <w:pageBreakBefore w:val="0"/>
        <w:numPr>
          <w:ilvl w:val="0"/>
          <w:numId w:val="1"/>
        </w:numPr>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rPr>
      </w:pPr>
      <w:r>
        <w:rPr>
          <w:rFonts w:ascii="Times New Roman" w:hAnsi="Times New Roman" w:cs="Times New Roman"/>
          <w:sz w:val="24"/>
        </w:rPr>
        <w:t>If search</w:t>
      </w:r>
      <w:r>
        <w:rPr>
          <w:rFonts w:hint="eastAsia" w:ascii="Times New Roman" w:hAnsi="Times New Roman" w:cs="Times New Roman"/>
          <w:sz w:val="24"/>
          <w:lang w:val="en-US" w:eastAsia="zh-CN"/>
        </w:rPr>
        <w:t xml:space="preserve"> </w:t>
      </w:r>
      <w:r>
        <w:rPr>
          <w:rFonts w:ascii="Times New Roman" w:hAnsi="Times New Roman" w:cs="Times New Roman"/>
          <w:sz w:val="24"/>
        </w:rPr>
        <w:t>“FAP-2286, finds a series entries with RDC names</w:t>
      </w:r>
      <w:r>
        <w:rPr>
          <w:rFonts w:hint="eastAsia" w:ascii="Times New Roman" w:hAnsi="Times New Roman" w:cs="Times New Roman"/>
          <w:sz w:val="24"/>
          <w:lang w:val="en-US" w:eastAsia="zh-CN"/>
        </w:rPr>
        <w:t>.</w:t>
      </w:r>
    </w:p>
    <w:p w14:paraId="102DAA38">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rPr>
      </w:pPr>
      <w:r>
        <w:rPr>
          <w:rFonts w:ascii="Times New Roman" w:hAnsi="Times New Roman" w:cs="Times New Roman"/>
        </w:rPr>
        <w:drawing>
          <wp:inline distT="0" distB="0" distL="114300" distR="114300">
            <wp:extent cx="5272405" cy="237617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376170"/>
                    </a:xfrm>
                    <a:prstGeom prst="rect">
                      <a:avLst/>
                    </a:prstGeom>
                    <a:noFill/>
                    <a:ln>
                      <a:noFill/>
                    </a:ln>
                  </pic:spPr>
                </pic:pic>
              </a:graphicData>
            </a:graphic>
          </wp:inline>
        </w:drawing>
      </w:r>
    </w:p>
    <w:p w14:paraId="56877D56">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rPr>
      </w:pPr>
      <w:r>
        <w:rPr>
          <w:rFonts w:ascii="Times New Roman" w:hAnsi="Times New Roman" w:cs="Times New Roman"/>
          <w:sz w:val="24"/>
          <w:szCs w:val="24"/>
        </w:rPr>
        <w:t>The search results for “[68Ga]Ga-C1-FAP-2286” display the Radionuclide-drug conjugate ID, RDC name, drug status, drug type, cold compound name, linker name, ligand name, chelator name, radionuclide name, and target name.</w:t>
      </w:r>
    </w:p>
    <w:p w14:paraId="26E02855">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szCs w:val="24"/>
        </w:rPr>
      </w:pPr>
      <w:r>
        <w:rPr>
          <w:rFonts w:ascii="Times New Roman" w:hAnsi="Times New Roman" w:cs="Times New Roman"/>
          <w:sz w:val="24"/>
          <w:szCs w:val="24"/>
        </w:rPr>
        <w:t>The “RDC Information” button redirects users to the RDC drug detail page for [68Ga]Ga-C1-FAP-2286. The “Cold Compound Information” button redirects users to the detail page of the unlabeled RDC drug. The “Ligand Information” button redirects users to the detail page for FAP-2286. The “Linker Information” button redirects users to the detail page for the linker(S)-2-amino-3-(((S)-1-(ethylamino)-1-oxo-3-sulfopropan-2-yl)amino)-3-oxopropane-1-sulfonic acid. The “Chelator Information” button redirects users to the detail page for DOTA. The “Radionuclide Information” button redirects users to the detail page for Gallium-68. The“Target information” button redirects users to the detail page for FAP.</w:t>
      </w:r>
    </w:p>
    <w:p w14:paraId="0078016D">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cs="Times New Roman"/>
        </w:rPr>
      </w:pPr>
      <w:r>
        <w:rPr>
          <w:rFonts w:ascii="Times New Roman" w:hAnsi="Times New Roman" w:cs="Times New Roman"/>
        </w:rPr>
        <w:drawing>
          <wp:inline distT="0" distB="0" distL="114300" distR="114300">
            <wp:extent cx="5261610" cy="2992120"/>
            <wp:effectExtent l="0" t="0" r="889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1610" cy="2992120"/>
                    </a:xfrm>
                    <a:prstGeom prst="rect">
                      <a:avLst/>
                    </a:prstGeom>
                    <a:noFill/>
                    <a:ln>
                      <a:noFill/>
                    </a:ln>
                  </pic:spPr>
                </pic:pic>
              </a:graphicData>
            </a:graphic>
          </wp:inline>
        </w:drawing>
      </w:r>
    </w:p>
    <w:p w14:paraId="16DB5D16">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cs="Times New Roman"/>
        </w:rPr>
      </w:pPr>
    </w:p>
    <w:p w14:paraId="788EC817">
      <w:pPr>
        <w:keepNext w:val="0"/>
        <w:keepLines w:val="0"/>
        <w:pageBreakBefore w:val="0"/>
        <w:numPr>
          <w:ilvl w:val="1"/>
          <w:numId w:val="2"/>
        </w:numPr>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cs="Times New Roman"/>
          <w:b/>
          <w:bCs/>
          <w:sz w:val="24"/>
          <w:szCs w:val="24"/>
        </w:rPr>
      </w:pPr>
      <w:r>
        <w:rPr>
          <w:rFonts w:ascii="Times New Roman" w:hAnsi="Times New Roman" w:cs="Times New Roman"/>
          <w:b/>
          <w:bCs/>
          <w:sz w:val="24"/>
          <w:szCs w:val="24"/>
        </w:rPr>
        <w:t>By clicking the “RDC Info” button, the detailed information page for RDC will be displayed</w:t>
      </w:r>
    </w:p>
    <w:p w14:paraId="189F216B">
      <w:pPr>
        <w:keepNext w:val="0"/>
        <w:keepLines w:val="0"/>
        <w:pageBreakBefore w:val="0"/>
        <w:kinsoku/>
        <w:overflowPunct/>
        <w:topLinePunct w:val="0"/>
        <w:autoSpaceDE/>
        <w:autoSpaceDN/>
        <w:bidi w:val="0"/>
        <w:adjustRightInd/>
        <w:snapToGrid/>
        <w:spacing w:beforeAutospacing="0" w:afterAutospacing="0" w:line="240" w:lineRule="auto"/>
        <w:textAlignment w:val="auto"/>
        <w:rPr>
          <w:rFonts w:ascii="Times New Roman" w:hAnsi="Times New Roman" w:cs="Times New Roman"/>
          <w:sz w:val="24"/>
          <w:szCs w:val="24"/>
        </w:rPr>
      </w:pPr>
      <w:r>
        <w:rPr>
          <w:rFonts w:ascii="Times New Roman" w:hAnsi="Times New Roman" w:cs="Times New Roman"/>
          <w:sz w:val="24"/>
          <w:szCs w:val="24"/>
        </w:rPr>
        <w:t xml:space="preserve">Using [68Ga]Ga-C1-FAP-2286 as an example, the “General Information of This RDC” section displays the </w:t>
      </w:r>
      <w:r>
        <w:rPr>
          <w:rFonts w:hint="eastAsia" w:ascii="Times New Roman" w:hAnsi="Times New Roman" w:cs="Times New Roman"/>
          <w:sz w:val="24"/>
          <w:szCs w:val="24"/>
          <w:lang w:eastAsia="zh-CN"/>
        </w:rPr>
        <w:t>General</w:t>
      </w:r>
      <w:r>
        <w:rPr>
          <w:rFonts w:ascii="Times New Roman" w:hAnsi="Times New Roman" w:cs="Times New Roman"/>
          <w:sz w:val="24"/>
          <w:szCs w:val="24"/>
        </w:rPr>
        <w:t xml:space="preserve"> information of [68Ga]Ga-C1-FAP-2286, including </w:t>
      </w:r>
      <w:r>
        <w:rPr>
          <w:rFonts w:hint="eastAsia" w:ascii="Times New Roman" w:hAnsi="Times New Roman" w:cs="Times New Roman"/>
          <w:sz w:val="24"/>
          <w:szCs w:val="24"/>
          <w:lang w:val="en-US" w:eastAsia="zh-CN"/>
        </w:rPr>
        <w:t>RDC</w:t>
      </w:r>
      <w:r>
        <w:rPr>
          <w:rFonts w:ascii="Times New Roman" w:hAnsi="Times New Roman" w:cs="Times New Roman"/>
          <w:sz w:val="24"/>
          <w:szCs w:val="24"/>
        </w:rPr>
        <w:t xml:space="preserve"> ID, drug name, </w:t>
      </w:r>
      <w:r>
        <w:rPr>
          <w:rFonts w:hint="eastAsia" w:ascii="Times New Roman" w:hAnsi="Times New Roman" w:cs="Times New Roman"/>
          <w:sz w:val="24"/>
          <w:szCs w:val="24"/>
          <w:lang w:val="en-US" w:eastAsia="zh-CN"/>
        </w:rPr>
        <w:t>synonyms</w:t>
      </w:r>
      <w:r>
        <w:rPr>
          <w:rFonts w:ascii="Times New Roman" w:hAnsi="Times New Roman" w:cs="Times New Roman"/>
          <w:sz w:val="24"/>
          <w:szCs w:val="24"/>
        </w:rPr>
        <w:t>, drug status, indications, chemical structure, mechanism of action</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 xml:space="preserve">external links, and other relevant details. In addition, this section also presents </w:t>
      </w:r>
      <w:r>
        <w:rPr>
          <w:rFonts w:hint="eastAsia" w:ascii="Times New Roman" w:hAnsi="Times New Roman" w:cs="Times New Roman"/>
          <w:sz w:val="24"/>
          <w:szCs w:val="24"/>
          <w:lang w:eastAsia="zh-CN"/>
        </w:rPr>
        <w:t>General</w:t>
      </w:r>
      <w:r>
        <w:rPr>
          <w:rFonts w:ascii="Times New Roman" w:hAnsi="Times New Roman" w:cs="Times New Roman"/>
          <w:sz w:val="24"/>
          <w:szCs w:val="24"/>
        </w:rPr>
        <w:t xml:space="preserve"> information related to [68Ga]Ga-C1-FAP-2286, including the cold compound name, ligand name, linker name, chelator name, radionuclide name, and radiochemistry information.</w:t>
      </w:r>
    </w:p>
    <w:p w14:paraId="2BD1B5E7">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cs="Times New Roman"/>
        </w:rPr>
      </w:pPr>
      <w:r>
        <w:rPr>
          <w:rFonts w:ascii="Times New Roman" w:hAnsi="Times New Roman" w:cs="Times New Roman"/>
        </w:rPr>
        <w:drawing>
          <wp:inline distT="0" distB="0" distL="114300" distR="114300">
            <wp:extent cx="5272405" cy="8052435"/>
            <wp:effectExtent l="0" t="0" r="1079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8052435"/>
                    </a:xfrm>
                    <a:prstGeom prst="rect">
                      <a:avLst/>
                    </a:prstGeom>
                    <a:noFill/>
                    <a:ln>
                      <a:noFill/>
                    </a:ln>
                  </pic:spPr>
                </pic:pic>
              </a:graphicData>
            </a:graphic>
          </wp:inline>
        </w:drawing>
      </w:r>
    </w:p>
    <w:p w14:paraId="273C22F4">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b w:val="0"/>
          <w:bCs w:val="0"/>
          <w:color w:val="000000"/>
          <w:sz w:val="24"/>
          <w:szCs w:val="24"/>
          <w:shd w:val="clear" w:color="auto" w:fill="FFFFFF"/>
        </w:rPr>
      </w:pPr>
      <w:r>
        <w:rPr>
          <w:rFonts w:ascii="Times New Roman" w:hAnsi="Times New Roman" w:eastAsia="Helvetica"/>
          <w:b w:val="0"/>
          <w:bCs w:val="0"/>
          <w:color w:val="000000"/>
          <w:sz w:val="24"/>
          <w:szCs w:val="24"/>
          <w:shd w:val="clear" w:color="auto" w:fill="FFFFFF"/>
        </w:rPr>
        <w:t xml:space="preserve">In the </w:t>
      </w:r>
      <w:r>
        <w:rPr>
          <w:rStyle w:val="7"/>
          <w:rFonts w:ascii="Times New Roman" w:hAnsi="Times New Roman" w:eastAsia="Helvetica"/>
          <w:b w:val="0"/>
          <w:bCs w:val="0"/>
          <w:color w:val="000000"/>
          <w:sz w:val="24"/>
          <w:szCs w:val="24"/>
          <w:shd w:val="clear" w:color="auto" w:fill="FFFFFF"/>
        </w:rPr>
        <w:t>“Full List of Activity Data of This RDC”</w:t>
      </w:r>
      <w:r>
        <w:rPr>
          <w:rFonts w:ascii="Times New Roman" w:hAnsi="Times New Roman" w:eastAsia="Helvetica"/>
          <w:b w:val="0"/>
          <w:bCs w:val="0"/>
          <w:color w:val="000000"/>
          <w:sz w:val="24"/>
          <w:szCs w:val="24"/>
          <w:shd w:val="clear" w:color="auto" w:fill="FFFFFF"/>
        </w:rPr>
        <w:t xml:space="preserve"> section, three types of activity data are provided: </w:t>
      </w:r>
      <w:r>
        <w:rPr>
          <w:rStyle w:val="7"/>
          <w:rFonts w:ascii="Times New Roman" w:hAnsi="Times New Roman" w:eastAsia="Helvetica"/>
          <w:b w:val="0"/>
          <w:bCs w:val="0"/>
          <w:color w:val="000000"/>
          <w:sz w:val="24"/>
          <w:szCs w:val="24"/>
          <w:shd w:val="clear" w:color="auto" w:fill="FFFFFF"/>
        </w:rPr>
        <w:t>in vitro activity data</w:t>
      </w:r>
      <w:r>
        <w:rPr>
          <w:rFonts w:ascii="Times New Roman" w:hAnsi="Times New Roman" w:eastAsia="Helvetica"/>
          <w:b w:val="0"/>
          <w:bCs w:val="0"/>
          <w:color w:val="000000"/>
          <w:sz w:val="24"/>
          <w:szCs w:val="24"/>
          <w:shd w:val="clear" w:color="auto" w:fill="FFFFFF"/>
        </w:rPr>
        <w:t xml:space="preserve">, </w:t>
      </w:r>
      <w:r>
        <w:rPr>
          <w:rStyle w:val="7"/>
          <w:rFonts w:ascii="Times New Roman" w:hAnsi="Times New Roman" w:eastAsia="Helvetica"/>
          <w:b w:val="0"/>
          <w:bCs w:val="0"/>
          <w:color w:val="000000"/>
          <w:sz w:val="24"/>
          <w:szCs w:val="24"/>
          <w:shd w:val="clear" w:color="auto" w:fill="FFFFFF"/>
        </w:rPr>
        <w:t>in vivo animal data</w:t>
      </w:r>
      <w:r>
        <w:rPr>
          <w:rFonts w:ascii="Times New Roman" w:hAnsi="Times New Roman" w:eastAsia="Helvetica"/>
          <w:b w:val="0"/>
          <w:bCs w:val="0"/>
          <w:color w:val="000000"/>
          <w:sz w:val="24"/>
          <w:szCs w:val="24"/>
          <w:shd w:val="clear" w:color="auto" w:fill="FFFFFF"/>
        </w:rPr>
        <w:t xml:space="preserve">, and </w:t>
      </w:r>
      <w:r>
        <w:rPr>
          <w:rStyle w:val="7"/>
          <w:rFonts w:ascii="Times New Roman" w:hAnsi="Times New Roman" w:eastAsia="Helvetica"/>
          <w:b w:val="0"/>
          <w:bCs w:val="0"/>
          <w:color w:val="000000"/>
          <w:sz w:val="24"/>
          <w:szCs w:val="24"/>
          <w:shd w:val="clear" w:color="auto" w:fill="FFFFFF"/>
        </w:rPr>
        <w:t>human activity data</w:t>
      </w:r>
      <w:r>
        <w:rPr>
          <w:rFonts w:ascii="Times New Roman" w:hAnsi="Times New Roman" w:eastAsia="Helvetica"/>
          <w:b w:val="0"/>
          <w:bCs w:val="0"/>
          <w:color w:val="000000"/>
          <w:sz w:val="24"/>
          <w:szCs w:val="24"/>
          <w:shd w:val="clear" w:color="auto" w:fill="FFFFFF"/>
        </w:rPr>
        <w:t>.</w:t>
      </w:r>
    </w:p>
    <w:p w14:paraId="2D68A791">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color w:val="000000"/>
          <w:sz w:val="16"/>
          <w:szCs w:val="16"/>
          <w:shd w:val="clear" w:color="auto" w:fill="FFFFFF"/>
        </w:rPr>
      </w:pPr>
      <w:r>
        <w:drawing>
          <wp:inline distT="0" distB="0" distL="114300" distR="114300">
            <wp:extent cx="5272405" cy="1544955"/>
            <wp:effectExtent l="0" t="0" r="1079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2405" cy="1544955"/>
                    </a:xfrm>
                    <a:prstGeom prst="rect">
                      <a:avLst/>
                    </a:prstGeom>
                    <a:noFill/>
                    <a:ln>
                      <a:noFill/>
                    </a:ln>
                  </pic:spPr>
                </pic:pic>
              </a:graphicData>
            </a:graphic>
          </wp:inline>
        </w:drawing>
      </w:r>
    </w:p>
    <w:p w14:paraId="5859998C">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color w:val="000000"/>
          <w:sz w:val="24"/>
          <w:szCs w:val="24"/>
          <w:shd w:val="clear" w:color="auto" w:fill="FFFFFF"/>
        </w:rPr>
      </w:pPr>
      <w:r>
        <w:rPr>
          <w:rFonts w:hint="eastAsia" w:ascii="Times New Roman" w:hAnsi="Times New Roman" w:eastAsia="Helvetica"/>
          <w:color w:val="000000"/>
          <w:sz w:val="24"/>
          <w:szCs w:val="24"/>
          <w:shd w:val="clear" w:color="auto" w:fill="FFFFFF"/>
        </w:rPr>
        <w:t>Under the “Detailed Activity Data - Human Activity Data” subsection, users can view information on indications, patient characteristics, efficacy data, and related descriptions.</w:t>
      </w:r>
    </w:p>
    <w:p w14:paraId="4915C1C8">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color w:val="000000"/>
          <w:sz w:val="16"/>
          <w:szCs w:val="16"/>
          <w:shd w:val="clear" w:color="auto" w:fill="FFFFFF"/>
        </w:rPr>
      </w:pPr>
      <w:r>
        <w:rPr>
          <w:rFonts w:ascii="Times New Roman" w:hAnsi="Times New Roman"/>
        </w:rPr>
        <w:drawing>
          <wp:inline distT="0" distB="0" distL="114300" distR="114300">
            <wp:extent cx="5269865" cy="6798945"/>
            <wp:effectExtent l="0" t="0" r="63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6798945"/>
                    </a:xfrm>
                    <a:prstGeom prst="rect">
                      <a:avLst/>
                    </a:prstGeom>
                    <a:noFill/>
                    <a:ln>
                      <a:noFill/>
                    </a:ln>
                  </pic:spPr>
                </pic:pic>
              </a:graphicData>
            </a:graphic>
          </wp:inline>
        </w:drawing>
      </w:r>
      <w:bookmarkStart w:id="0" w:name="_GoBack"/>
      <w:bookmarkEnd w:id="0"/>
    </w:p>
    <w:p w14:paraId="62B7F902">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b w:val="0"/>
          <w:bCs w:val="0"/>
          <w:color w:val="000000"/>
          <w:sz w:val="24"/>
          <w:szCs w:val="24"/>
          <w:shd w:val="clear" w:color="auto" w:fill="FFFFFF"/>
        </w:rPr>
      </w:pPr>
      <w:r>
        <w:rPr>
          <w:rFonts w:ascii="Times New Roman" w:hAnsi="Times New Roman" w:eastAsia="Helvetica"/>
          <w:b w:val="0"/>
          <w:bCs w:val="0"/>
          <w:color w:val="000000"/>
          <w:sz w:val="24"/>
          <w:szCs w:val="24"/>
          <w:shd w:val="clear" w:color="auto" w:fill="FFFFFF"/>
        </w:rPr>
        <w:t xml:space="preserve">Under the </w:t>
      </w:r>
      <w:r>
        <w:rPr>
          <w:rStyle w:val="7"/>
          <w:rFonts w:ascii="Times New Roman" w:hAnsi="Times New Roman" w:eastAsia="Helvetica"/>
          <w:b w:val="0"/>
          <w:bCs w:val="0"/>
          <w:color w:val="000000"/>
          <w:sz w:val="24"/>
          <w:szCs w:val="24"/>
          <w:shd w:val="clear" w:color="auto" w:fill="FFFFFF"/>
        </w:rPr>
        <w:t>“Animal Activity Data”</w:t>
      </w:r>
      <w:r>
        <w:rPr>
          <w:rFonts w:ascii="Times New Roman" w:hAnsi="Times New Roman" w:eastAsia="Helvetica"/>
          <w:b w:val="0"/>
          <w:bCs w:val="0"/>
          <w:color w:val="000000"/>
          <w:sz w:val="24"/>
          <w:szCs w:val="24"/>
          <w:shd w:val="clear" w:color="auto" w:fill="FFFFFF"/>
        </w:rPr>
        <w:t xml:space="preserve"> subsection, imaging or ex vivo biodistribution data are presented, including animal models, cell models, metabolism and excretion information, tumor retention time, therapeutic efficacy, and visualized activity data. For key data, the </w:t>
      </w:r>
      <w:r>
        <w:rPr>
          <w:rStyle w:val="7"/>
          <w:rFonts w:ascii="Times New Roman" w:hAnsi="Times New Roman" w:eastAsia="Helvetica"/>
          <w:b w:val="0"/>
          <w:bCs w:val="0"/>
          <w:color w:val="000000"/>
          <w:sz w:val="24"/>
          <w:szCs w:val="24"/>
          <w:shd w:val="clear" w:color="auto" w:fill="FFFFFF"/>
        </w:rPr>
        <w:t>T/B values</w:t>
      </w:r>
      <w:r>
        <w:rPr>
          <w:rFonts w:ascii="Times New Roman" w:hAnsi="Times New Roman" w:eastAsia="Helvetica"/>
          <w:b w:val="0"/>
          <w:bCs w:val="0"/>
          <w:color w:val="000000"/>
          <w:sz w:val="24"/>
          <w:szCs w:val="24"/>
          <w:shd w:val="clear" w:color="auto" w:fill="FFFFFF"/>
        </w:rPr>
        <w:t xml:space="preserve"> are calculated and displayed in tabular format.</w:t>
      </w:r>
    </w:p>
    <w:p w14:paraId="46D8BC62">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textAlignment w:val="auto"/>
        <w:rPr>
          <w:rFonts w:ascii="Times New Roman" w:hAnsi="Times New Roman" w:eastAsia="Helvetica"/>
          <w:b w:val="0"/>
          <w:bCs w:val="0"/>
          <w:color w:val="000000"/>
          <w:sz w:val="24"/>
          <w:szCs w:val="24"/>
          <w:shd w:val="clear" w:color="auto" w:fill="FFFFFF"/>
        </w:rPr>
      </w:pPr>
      <w:r>
        <w:rPr>
          <w:rFonts w:ascii="Times New Roman" w:hAnsi="Times New Roman"/>
        </w:rPr>
        <w:drawing>
          <wp:inline distT="0" distB="0" distL="114300" distR="114300">
            <wp:extent cx="5269865" cy="8691245"/>
            <wp:effectExtent l="0" t="0" r="63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865" cy="8691245"/>
                    </a:xfrm>
                    <a:prstGeom prst="rect">
                      <a:avLst/>
                    </a:prstGeom>
                    <a:noFill/>
                    <a:ln>
                      <a:noFill/>
                    </a:ln>
                  </pic:spPr>
                </pic:pic>
              </a:graphicData>
            </a:graphic>
          </wp:inline>
        </w:drawing>
      </w:r>
      <w:r>
        <w:rPr>
          <w:rFonts w:ascii="Times New Roman" w:hAnsi="Times New Roman" w:eastAsia="Helvetica"/>
          <w:b w:val="0"/>
          <w:bCs w:val="0"/>
          <w:color w:val="000000"/>
          <w:sz w:val="24"/>
          <w:szCs w:val="24"/>
          <w:shd w:val="clear" w:color="auto" w:fill="FFFFFF"/>
        </w:rPr>
        <w:t xml:space="preserve">The </w:t>
      </w:r>
      <w:r>
        <w:rPr>
          <w:rFonts w:ascii="Times New Roman" w:hAnsi="Times New Roman" w:eastAsia="宋体"/>
          <w:b w:val="0"/>
          <w:bCs w:val="0"/>
          <w:color w:val="000000"/>
          <w:sz w:val="24"/>
          <w:szCs w:val="24"/>
          <w:shd w:val="clear" w:color="auto" w:fill="FFFFFF"/>
        </w:rPr>
        <w:t>“</w:t>
      </w:r>
      <w:r>
        <w:rPr>
          <w:rStyle w:val="7"/>
          <w:rFonts w:ascii="Times New Roman" w:hAnsi="Times New Roman" w:eastAsia="Helvetica"/>
          <w:b w:val="0"/>
          <w:bCs w:val="0"/>
          <w:color w:val="000000"/>
          <w:sz w:val="24"/>
          <w:szCs w:val="24"/>
          <w:shd w:val="clear" w:color="auto" w:fill="FFFFFF"/>
        </w:rPr>
        <w:t>in vitro data</w:t>
      </w:r>
      <w:r>
        <w:rPr>
          <w:rStyle w:val="7"/>
          <w:rFonts w:ascii="Times New Roman" w:hAnsi="Times New Roman" w:eastAsia="宋体"/>
          <w:b w:val="0"/>
          <w:bCs w:val="0"/>
          <w:color w:val="000000"/>
          <w:sz w:val="24"/>
          <w:szCs w:val="24"/>
          <w:shd w:val="clear" w:color="auto" w:fill="FFFFFF"/>
        </w:rPr>
        <w:t>”</w:t>
      </w:r>
      <w:r>
        <w:rPr>
          <w:rFonts w:ascii="Times New Roman" w:hAnsi="Times New Roman" w:eastAsia="Helvetica"/>
          <w:b w:val="0"/>
          <w:bCs w:val="0"/>
          <w:color w:val="000000"/>
          <w:sz w:val="24"/>
          <w:szCs w:val="24"/>
          <w:shd w:val="clear" w:color="auto" w:fill="FFFFFF"/>
        </w:rPr>
        <w:t xml:space="preserve"> section presents the lipophilicity coefficient, relevant binding affinity data, and related descriptions.</w:t>
      </w:r>
    </w:p>
    <w:p w14:paraId="03BFE2B5">
      <w:pPr>
        <w:pStyle w:val="4"/>
        <w:keepNext w:val="0"/>
        <w:keepLines w:val="0"/>
        <w:pageBreakBefore w:val="0"/>
        <w:widowControl/>
        <w:shd w:val="clear" w:color="auto" w:fill="FFFFFF"/>
        <w:kinsoku/>
        <w:overflowPunct/>
        <w:topLinePunct w:val="0"/>
        <w:autoSpaceDE/>
        <w:autoSpaceDN/>
        <w:bidi w:val="0"/>
        <w:adjustRightInd/>
        <w:snapToGrid/>
        <w:spacing w:beforeAutospacing="0" w:afterAutospacing="0" w:line="240" w:lineRule="auto"/>
        <w:jc w:val="center"/>
        <w:textAlignment w:val="auto"/>
        <w:rPr>
          <w:rFonts w:ascii="Times New Roman" w:hAnsi="Times New Roman" w:eastAsia="Helvetica"/>
          <w:color w:val="000000"/>
          <w:sz w:val="16"/>
          <w:szCs w:val="16"/>
          <w:shd w:val="clear" w:color="auto" w:fill="FFFFFF"/>
        </w:rPr>
      </w:pPr>
      <w:r>
        <w:rPr>
          <w:rFonts w:ascii="Times New Roman" w:hAnsi="Times New Roman"/>
        </w:rPr>
        <w:drawing>
          <wp:inline distT="0" distB="0" distL="114300" distR="114300">
            <wp:extent cx="5270500" cy="4657725"/>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0500" cy="4657725"/>
                    </a:xfrm>
                    <a:prstGeom prst="rect">
                      <a:avLst/>
                    </a:prstGeom>
                    <a:noFill/>
                    <a:ln>
                      <a:noFill/>
                    </a:ln>
                  </pic:spPr>
                </pic:pic>
              </a:graphicData>
            </a:graphic>
          </wp:inline>
        </w:drawing>
      </w:r>
    </w:p>
    <w:p w14:paraId="7368EAD4">
      <w:pPr>
        <w:keepNext w:val="0"/>
        <w:keepLines w:val="0"/>
        <w:pageBreakBefore w:val="0"/>
        <w:numPr>
          <w:ilvl w:val="1"/>
          <w:numId w:val="2"/>
        </w:numPr>
        <w:kinsoku/>
        <w:wordWrap w:val="0"/>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b/>
          <w:bCs/>
          <w:color w:val="333333"/>
          <w:sz w:val="24"/>
          <w:szCs w:val="24"/>
          <w:shd w:val="clear" w:color="auto" w:fill="FFFFFF"/>
        </w:rPr>
      </w:pPr>
      <w:r>
        <w:rPr>
          <w:rFonts w:hint="default" w:ascii="Times New Roman" w:hAnsi="Times New Roman" w:eastAsia="Helvetica" w:cs="Times New Roman"/>
          <w:b/>
          <w:bCs/>
          <w:color w:val="333333"/>
          <w:sz w:val="24"/>
          <w:szCs w:val="24"/>
          <w:shd w:val="clear" w:color="auto" w:fill="FFFFFF"/>
        </w:rPr>
        <w:t>By clicking the “cold_compound Info” button, the detailed information page will be displayed</w:t>
      </w:r>
      <w:r>
        <w:rPr>
          <w:rFonts w:hint="default" w:ascii="Times New Roman" w:hAnsi="Times New Roman" w:eastAsia="宋体" w:cs="Times New Roman"/>
          <w:b/>
          <w:bCs/>
          <w:color w:val="333333"/>
          <w:sz w:val="24"/>
          <w:szCs w:val="24"/>
          <w:shd w:val="clear" w:color="auto" w:fill="FFFFFF"/>
        </w:rPr>
        <w:t>.</w:t>
      </w:r>
    </w:p>
    <w:p w14:paraId="432D3C3D">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Using [68Ga]Ga-C1-FAP-2286 as an example,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Cold Compound Information” 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cold compound, including its name, aliases, chemical structure information such as SMILES and formula, physicochemical propert</w:t>
      </w:r>
      <w:r>
        <w:rPr>
          <w:rFonts w:hint="default" w:ascii="Times New Roman" w:hAnsi="Times New Roman" w:cs="Times New Roman"/>
          <w:sz w:val="24"/>
          <w:szCs w:val="24"/>
        </w:rPr>
        <w:t>ies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It should be noted that the physicochemical properties are calculated using the RDKit tool</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and external links.</w:t>
      </w:r>
    </w:p>
    <w:p w14:paraId="66264D31">
      <w:pPr>
        <w:keepNext w:val="0"/>
        <w:keepLines w:val="0"/>
        <w:pageBreakBefore w:val="0"/>
        <w:kinsoku/>
        <w:wordWrap w:val="0"/>
        <w:overflowPunct/>
        <w:topLinePunct w:val="0"/>
        <w:autoSpaceDE/>
        <w:autoSpaceDN/>
        <w:bidi w:val="0"/>
        <w:adjustRightInd/>
        <w:snapToGrid/>
        <w:spacing w:beforeAutospacing="0" w:afterAutospacing="0" w:line="240" w:lineRule="auto"/>
        <w:jc w:val="center"/>
        <w:textAlignment w:val="auto"/>
        <w:rPr>
          <w:rFonts w:ascii="Times New Roman" w:hAnsi="Times New Roman" w:eastAsia="宋体" w:cs="Times New Roman"/>
          <w:color w:val="333333"/>
          <w:sz w:val="15"/>
          <w:szCs w:val="15"/>
          <w:shd w:val="clear" w:color="auto" w:fill="FFFFFF"/>
        </w:rPr>
      </w:pPr>
      <w:r>
        <w:rPr>
          <w:rFonts w:ascii="Times New Roman" w:hAnsi="Times New Roman" w:cs="Times New Roman"/>
        </w:rPr>
        <w:drawing>
          <wp:inline distT="0" distB="0" distL="0" distR="0">
            <wp:extent cx="3080385" cy="86550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extLst>
                        <a:ext uri="{28A0092B-C50C-407E-A947-70E740481C1C}">
                          <a14:useLocalDpi xmlns:a14="http://schemas.microsoft.com/office/drawing/2010/main" val="0"/>
                        </a:ext>
                      </a:extLst>
                    </a:blip>
                    <a:srcRect b="2217"/>
                    <a:stretch>
                      <a:fillRect/>
                    </a:stretch>
                  </pic:blipFill>
                  <pic:spPr>
                    <a:xfrm>
                      <a:off x="0" y="0"/>
                      <a:ext cx="3080385" cy="8655050"/>
                    </a:xfrm>
                    <a:prstGeom prst="rect">
                      <a:avLst/>
                    </a:prstGeom>
                    <a:noFill/>
                    <a:ln>
                      <a:noFill/>
                    </a:ln>
                  </pic:spPr>
                </pic:pic>
              </a:graphicData>
            </a:graphic>
          </wp:inline>
        </w:drawing>
      </w:r>
    </w:p>
    <w:p w14:paraId="65C2A0D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left"/>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The “</w:t>
      </w:r>
      <w:r>
        <w:rPr>
          <w:rFonts w:hint="eastAsia" w:ascii="Times New Roman" w:hAnsi="Times New Roman" w:eastAsia="宋体" w:cs="Times New Roman"/>
          <w:color w:val="333333"/>
          <w:sz w:val="24"/>
          <w:szCs w:val="24"/>
          <w:shd w:val="clear" w:color="auto" w:fill="FFFFFF"/>
          <w:lang w:val="en-US" w:eastAsia="zh-CN"/>
        </w:rPr>
        <w:t>Related RDCs</w:t>
      </w:r>
      <w:r>
        <w:rPr>
          <w:rFonts w:ascii="Times New Roman" w:hAnsi="Times New Roman" w:eastAsia="宋体" w:cs="Times New Roman"/>
          <w:color w:val="333333"/>
          <w:sz w:val="24"/>
          <w:szCs w:val="24"/>
          <w:shd w:val="clear" w:color="auto" w:fill="FFFFFF"/>
        </w:rPr>
        <w:t xml:space="preserve">” section displays the radionuclide-conjugated drugs associated with this cold compound. Clicking each button will redirect users to the corresponding detail page for that </w:t>
      </w:r>
      <w:r>
        <w:rPr>
          <w:rFonts w:hint="eastAsia" w:ascii="Times New Roman" w:hAnsi="Times New Roman" w:eastAsia="宋体" w:cs="Times New Roman"/>
          <w:color w:val="333333"/>
          <w:sz w:val="24"/>
          <w:szCs w:val="24"/>
          <w:shd w:val="clear" w:color="auto" w:fill="FFFFFF"/>
          <w:lang w:val="en-US" w:eastAsia="zh-CN"/>
        </w:rPr>
        <w:t>RDC</w:t>
      </w:r>
      <w:r>
        <w:rPr>
          <w:rFonts w:ascii="Times New Roman" w:hAnsi="Times New Roman" w:eastAsia="宋体" w:cs="Times New Roman"/>
          <w:color w:val="333333"/>
          <w:sz w:val="24"/>
          <w:szCs w:val="24"/>
          <w:shd w:val="clear" w:color="auto" w:fill="FFFFFF"/>
        </w:rPr>
        <w:t>.</w:t>
      </w:r>
    </w:p>
    <w:p w14:paraId="70D8488D">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2961005"/>
            <wp:effectExtent l="0" t="0" r="2540" b="0"/>
            <wp:docPr id="208263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39835" name="图片 1"/>
                    <pic:cNvPicPr>
                      <a:picLocks noChangeAspect="1"/>
                    </pic:cNvPicPr>
                  </pic:nvPicPr>
                  <pic:blipFill>
                    <a:blip r:embed="rId12"/>
                    <a:stretch>
                      <a:fillRect/>
                    </a:stretch>
                  </pic:blipFill>
                  <pic:spPr>
                    <a:xfrm>
                      <a:off x="0" y="0"/>
                      <a:ext cx="5274310" cy="2961005"/>
                    </a:xfrm>
                    <a:prstGeom prst="rect">
                      <a:avLst/>
                    </a:prstGeom>
                  </pic:spPr>
                </pic:pic>
              </a:graphicData>
            </a:graphic>
          </wp:inline>
        </w:drawing>
      </w:r>
    </w:p>
    <w:p w14:paraId="13E76515">
      <w:pPr>
        <w:keepNext w:val="0"/>
        <w:keepLines w:val="0"/>
        <w:pageBreakBefore w:val="0"/>
        <w:widowControl w:val="0"/>
        <w:kinsoku/>
        <w:wordWrap/>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highlight w:val="none"/>
          <w:shd w:val="clear" w:color="auto" w:fill="FFFFFF"/>
        </w:rPr>
        <w:t>The “</w:t>
      </w:r>
      <w:r>
        <w:rPr>
          <w:rFonts w:hint="eastAsia" w:ascii="Times New Roman" w:hAnsi="Times New Roman" w:eastAsia="宋体" w:cs="Times New Roman"/>
          <w:color w:val="333333"/>
          <w:sz w:val="24"/>
          <w:szCs w:val="24"/>
          <w:highlight w:val="none"/>
          <w:shd w:val="clear" w:color="auto" w:fill="FFFFFF"/>
          <w:lang w:val="en-US" w:eastAsia="zh-CN"/>
        </w:rPr>
        <w:t xml:space="preserve">Full information of the </w:t>
      </w:r>
      <w:r>
        <w:rPr>
          <w:rFonts w:ascii="Times New Roman" w:hAnsi="Times New Roman" w:eastAsia="宋体" w:cs="Times New Roman"/>
          <w:color w:val="333333"/>
          <w:sz w:val="24"/>
          <w:szCs w:val="24"/>
          <w:highlight w:val="none"/>
          <w:shd w:val="clear" w:color="auto" w:fill="FFFFFF"/>
        </w:rPr>
        <w:t xml:space="preserve">Activity Data </w:t>
      </w:r>
      <w:r>
        <w:rPr>
          <w:rFonts w:hint="eastAsia" w:ascii="Times New Roman" w:hAnsi="Times New Roman" w:eastAsia="宋体" w:cs="Times New Roman"/>
          <w:color w:val="333333"/>
          <w:sz w:val="24"/>
          <w:szCs w:val="24"/>
          <w:highlight w:val="none"/>
          <w:shd w:val="clear" w:color="auto" w:fill="FFFFFF"/>
          <w:lang w:val="en-US" w:eastAsia="zh-CN"/>
        </w:rPr>
        <w:t>of RDC(s) Related to this cold compound</w:t>
      </w:r>
      <w:r>
        <w:rPr>
          <w:rFonts w:ascii="Times New Roman" w:hAnsi="Times New Roman" w:eastAsia="宋体" w:cs="Times New Roman"/>
          <w:color w:val="333333"/>
          <w:sz w:val="24"/>
          <w:szCs w:val="24"/>
          <w:highlight w:val="none"/>
          <w:shd w:val="clear" w:color="auto" w:fill="FFFFFF"/>
        </w:rPr>
        <w:t xml:space="preserve">” </w:t>
      </w:r>
      <w:r>
        <w:rPr>
          <w:rFonts w:ascii="Times New Roman" w:hAnsi="Times New Roman" w:eastAsia="宋体" w:cs="Times New Roman"/>
          <w:color w:val="333333"/>
          <w:sz w:val="24"/>
          <w:szCs w:val="24"/>
          <w:shd w:val="clear" w:color="auto" w:fill="FFFFFF"/>
        </w:rPr>
        <w:t xml:space="preserve">section systematically displays various </w:t>
      </w:r>
      <w:r>
        <w:rPr>
          <w:rFonts w:hint="eastAsia" w:ascii="Times New Roman" w:hAnsi="Times New Roman" w:eastAsia="宋体" w:cs="Times New Roman"/>
          <w:color w:val="333333"/>
          <w:sz w:val="24"/>
          <w:szCs w:val="24"/>
          <w:shd w:val="clear" w:color="auto" w:fill="FFFFFF"/>
          <w:lang w:val="en-US" w:eastAsia="zh-CN"/>
        </w:rPr>
        <w:t>RDCs</w:t>
      </w:r>
      <w:r>
        <w:rPr>
          <w:rFonts w:ascii="Times New Roman" w:hAnsi="Times New Roman" w:eastAsia="宋体" w:cs="Times New Roman"/>
          <w:color w:val="333333"/>
          <w:sz w:val="24"/>
          <w:szCs w:val="24"/>
          <w:shd w:val="clear" w:color="auto" w:fill="FFFFFF"/>
        </w:rPr>
        <w:t xml:space="preserve"> associated with this cold compound. The list presents different radionuclide conjugates and their respective development stages.</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 xml:space="preserve">Users can view an overview of activity data at different levels for each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 xml:space="preserve">, or click the RDC information to quickly navigate to the corresponding activity detail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1A73490E">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1593215"/>
            <wp:effectExtent l="0" t="0" r="2540" b="6985"/>
            <wp:docPr id="142085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678" name="图片 1"/>
                    <pic:cNvPicPr>
                      <a:picLocks noChangeAspect="1"/>
                    </pic:cNvPicPr>
                  </pic:nvPicPr>
                  <pic:blipFill>
                    <a:blip r:embed="rId13"/>
                    <a:stretch>
                      <a:fillRect/>
                    </a:stretch>
                  </pic:blipFill>
                  <pic:spPr>
                    <a:xfrm>
                      <a:off x="0" y="0"/>
                      <a:ext cx="5274310" cy="1593215"/>
                    </a:xfrm>
                    <a:prstGeom prst="rect">
                      <a:avLst/>
                    </a:prstGeom>
                  </pic:spPr>
                </pic:pic>
              </a:graphicData>
            </a:graphic>
          </wp:inline>
        </w:drawing>
      </w:r>
    </w:p>
    <w:p w14:paraId="55EC77A0">
      <w:pPr>
        <w:pStyle w:val="10"/>
        <w:keepNext w:val="0"/>
        <w:keepLines w:val="0"/>
        <w:pageBreakBefore w:val="0"/>
        <w:widowControl w:val="0"/>
        <w:numPr>
          <w:numId w:val="0"/>
        </w:numPr>
        <w:kinsoku/>
        <w:wordWrap/>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 xml:space="preserve">1.3 </w:t>
      </w:r>
      <w:r>
        <w:rPr>
          <w:rFonts w:ascii="Times New Roman" w:hAnsi="Times New Roman" w:eastAsia="宋体" w:cs="Times New Roman"/>
          <w:b/>
          <w:bCs/>
          <w:color w:val="333333"/>
          <w:sz w:val="24"/>
          <w:szCs w:val="24"/>
          <w:shd w:val="clear" w:color="auto" w:fill="FFFFFF"/>
        </w:rPr>
        <w:t>By clicking the “Ligand Info” button, the detailed ligand information page for will be displayed.</w:t>
      </w:r>
    </w:p>
    <w:p w14:paraId="08418EC3">
      <w:pPr>
        <w:keepNext w:val="0"/>
        <w:keepLines w:val="0"/>
        <w:pageBreakBefore w:val="0"/>
        <w:widowControl w:val="0"/>
        <w:kinsoku/>
        <w:wordWrap/>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Using FAP-2286 as an example, the “</w:t>
      </w:r>
      <w:r>
        <w:rPr>
          <w:rFonts w:hint="eastAsia" w:ascii="Times New Roman" w:hAnsi="Times New Roman" w:eastAsia="宋体" w:cs="Times New Roman"/>
          <w:color w:val="333333"/>
          <w:sz w:val="24"/>
          <w:szCs w:val="24"/>
          <w:shd w:val="clear" w:color="auto" w:fill="FFFFFF"/>
          <w:lang w:val="en-US" w:eastAsia="zh-CN"/>
        </w:rPr>
        <w:t>General</w:t>
      </w:r>
      <w:r>
        <w:rPr>
          <w:rFonts w:ascii="Times New Roman" w:hAnsi="Times New Roman" w:eastAsia="宋体" w:cs="Times New Roman"/>
          <w:color w:val="333333"/>
          <w:sz w:val="24"/>
          <w:szCs w:val="24"/>
          <w:shd w:val="clear" w:color="auto" w:fill="FFFFFF"/>
        </w:rPr>
        <w:t xml:space="preserve"> Information</w:t>
      </w:r>
      <w:r>
        <w:rPr>
          <w:rFonts w:hint="eastAsia" w:ascii="Times New Roman" w:hAnsi="Times New Roman" w:eastAsia="宋体" w:cs="Times New Roman"/>
          <w:color w:val="333333"/>
          <w:sz w:val="24"/>
          <w:szCs w:val="24"/>
          <w:shd w:val="clear" w:color="auto" w:fill="FFFFFF"/>
          <w:lang w:val="en-US" w:eastAsia="zh-CN"/>
        </w:rPr>
        <w:t xml:space="preserve"> of this ligand</w:t>
      </w:r>
      <w:r>
        <w:rPr>
          <w:rFonts w:ascii="Times New Roman" w:hAnsi="Times New Roman" w:eastAsia="宋体" w:cs="Times New Roman"/>
          <w:color w:val="333333"/>
          <w:sz w:val="24"/>
          <w:szCs w:val="24"/>
          <w:shd w:val="clear" w:color="auto" w:fill="FFFFFF"/>
        </w:rPr>
        <w:t xml:space="preserve">” section displays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ligand, including the ligand ID, name, synonyms, external links, chemical structure, molecular formula, SMILES , formula, InChI identifier, InChIKey, IUPAC name, physicochemical properties, and ligand type.</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It should be noted that the physicochemical properties are calculated using the RDKit tool.</w:t>
      </w:r>
    </w:p>
    <w:p w14:paraId="6E620484">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jc w:val="center"/>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4826000" cy="8863330"/>
            <wp:effectExtent l="0" t="0" r="0" b="0"/>
            <wp:docPr id="532273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3133" name="图片 1"/>
                    <pic:cNvPicPr>
                      <a:picLocks noChangeAspect="1"/>
                    </pic:cNvPicPr>
                  </pic:nvPicPr>
                  <pic:blipFill>
                    <a:blip r:embed="rId14"/>
                    <a:srcRect r="1503"/>
                    <a:stretch>
                      <a:fillRect/>
                    </a:stretch>
                  </pic:blipFill>
                  <pic:spPr>
                    <a:xfrm>
                      <a:off x="0" y="0"/>
                      <a:ext cx="4826000" cy="8863330"/>
                    </a:xfrm>
                    <a:prstGeom prst="rect">
                      <a:avLst/>
                    </a:prstGeom>
                    <a:ln>
                      <a:noFill/>
                    </a:ln>
                  </pic:spPr>
                </pic:pic>
              </a:graphicData>
            </a:graphic>
          </wp:inline>
        </w:drawing>
      </w:r>
    </w:p>
    <w:p w14:paraId="7448855E">
      <w:pPr>
        <w:pStyle w:val="10"/>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The “</w:t>
      </w:r>
      <w:r>
        <w:rPr>
          <w:rFonts w:hint="eastAsia" w:ascii="Times New Roman" w:hAnsi="Times New Roman" w:eastAsia="宋体" w:cs="Times New Roman"/>
          <w:color w:val="333333"/>
          <w:sz w:val="24"/>
          <w:szCs w:val="24"/>
          <w:shd w:val="clear" w:color="auto" w:fill="FFFFFF"/>
          <w:lang w:val="en-US" w:eastAsia="zh-CN"/>
        </w:rPr>
        <w:t>Related RDCs</w:t>
      </w:r>
      <w:r>
        <w:rPr>
          <w:rFonts w:ascii="Times New Roman" w:hAnsi="Times New Roman" w:eastAsia="宋体" w:cs="Times New Roman"/>
          <w:color w:val="333333"/>
          <w:sz w:val="24"/>
          <w:szCs w:val="24"/>
          <w:shd w:val="clear" w:color="auto" w:fill="FFFFFF"/>
        </w:rPr>
        <w:t>” section displays the radionuclide-conjugated drugs associated with thisligand. Clicking each button will redirect users to the corresponding detail page for that radionuclide</w:t>
      </w:r>
      <w:r>
        <w:rPr>
          <w:rFonts w:hint="eastAsia" w:ascii="Times New Roman" w:hAnsi="Times New Roman" w:eastAsia="宋体" w:cs="Times New Roman"/>
          <w:color w:val="333333"/>
          <w:sz w:val="24"/>
          <w:szCs w:val="24"/>
          <w:shd w:val="clear" w:color="auto" w:fill="FFFFFF"/>
          <w:lang w:val="en-US" w:eastAsia="zh-CN"/>
        </w:rPr>
        <w:t xml:space="preserve"> 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 xml:space="preserve"> </w:t>
      </w:r>
    </w:p>
    <w:p w14:paraId="63068C31">
      <w:pPr>
        <w:pStyle w:val="10"/>
        <w:keepNext w:val="0"/>
        <w:keepLines w:val="0"/>
        <w:pageBreakBefore w:val="0"/>
        <w:widowControl w:val="0"/>
        <w:kinsoku/>
        <w:wordWrap w:val="0"/>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235960"/>
            <wp:effectExtent l="0" t="0" r="2540" b="2540"/>
            <wp:docPr id="1101150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0190" name="图片 1"/>
                    <pic:cNvPicPr>
                      <a:picLocks noChangeAspect="1"/>
                    </pic:cNvPicPr>
                  </pic:nvPicPr>
                  <pic:blipFill>
                    <a:blip r:embed="rId15"/>
                    <a:stretch>
                      <a:fillRect/>
                    </a:stretch>
                  </pic:blipFill>
                  <pic:spPr>
                    <a:xfrm>
                      <a:off x="0" y="0"/>
                      <a:ext cx="5274310" cy="3235960"/>
                    </a:xfrm>
                    <a:prstGeom prst="rect">
                      <a:avLst/>
                    </a:prstGeom>
                  </pic:spPr>
                </pic:pic>
              </a:graphicData>
            </a:graphic>
          </wp:inline>
        </w:drawing>
      </w:r>
    </w:p>
    <w:p w14:paraId="2B8E72E4">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24"/>
          <w:szCs w:val="24"/>
          <w:shd w:val="clear" w:color="auto" w:fill="FFFFFF"/>
        </w:rPr>
      </w:pPr>
      <w:r>
        <w:rPr>
          <w:rFonts w:hint="eastAsia" w:ascii="Times New Roman" w:hAnsi="Times New Roman" w:eastAsia="宋体" w:cs="Times New Roman"/>
          <w:color w:val="333333"/>
          <w:sz w:val="24"/>
          <w:szCs w:val="24"/>
          <w:shd w:val="clear" w:color="auto" w:fill="FFFFFF"/>
        </w:rPr>
        <w:t xml:space="preserve">The “Complete List of RDCs </w:t>
      </w:r>
      <w:r>
        <w:rPr>
          <w:rFonts w:hint="eastAsia" w:ascii="Times New Roman" w:hAnsi="Times New Roman" w:eastAsia="宋体" w:cs="Times New Roman"/>
          <w:color w:val="333333"/>
          <w:sz w:val="24"/>
          <w:szCs w:val="24"/>
          <w:shd w:val="clear" w:color="auto" w:fill="FFFFFF"/>
          <w:lang w:val="en-US" w:eastAsia="zh-CN"/>
        </w:rPr>
        <w:t>related</w:t>
      </w:r>
      <w:r>
        <w:rPr>
          <w:rFonts w:hint="eastAsia" w:ascii="Times New Roman" w:hAnsi="Times New Roman" w:eastAsia="宋体" w:cs="Times New Roman"/>
          <w:color w:val="333333"/>
          <w:sz w:val="24"/>
          <w:szCs w:val="24"/>
          <w:shd w:val="clear" w:color="auto" w:fill="FFFFFF"/>
        </w:rPr>
        <w:t xml:space="preserve"> with This Ligand” section systematically displays the RDCs bound to this ligand. The list presents different types of RDCs with their structural component information. Users can browse the different RDCs as a whole or click the RDC information to quickly navigate to the corresponding RDC activity page.</w:t>
      </w:r>
    </w:p>
    <w:p w14:paraId="32A2BDDC">
      <w:pPr>
        <w:pStyle w:val="10"/>
        <w:keepNext w:val="0"/>
        <w:keepLines w:val="0"/>
        <w:pageBreakBefore w:val="0"/>
        <w:kinsoku/>
        <w:overflowPunct/>
        <w:topLinePunct w:val="0"/>
        <w:autoSpaceDE/>
        <w:autoSpaceDN/>
        <w:bidi w:val="0"/>
        <w:adjustRightInd/>
        <w:snapToGrid/>
        <w:spacing w:beforeAutospacing="0" w:afterAutospacing="0" w:line="240" w:lineRule="auto"/>
        <w:ind w:left="150" w:hanging="150" w:hangingChars="10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5331460"/>
            <wp:effectExtent l="0" t="0" r="2540" b="2540"/>
            <wp:docPr id="67316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63954" name="图片 1"/>
                    <pic:cNvPicPr>
                      <a:picLocks noChangeAspect="1"/>
                    </pic:cNvPicPr>
                  </pic:nvPicPr>
                  <pic:blipFill>
                    <a:blip r:embed="rId16"/>
                    <a:stretch>
                      <a:fillRect/>
                    </a:stretch>
                  </pic:blipFill>
                  <pic:spPr>
                    <a:xfrm>
                      <a:off x="0" y="0"/>
                      <a:ext cx="5274310" cy="5331460"/>
                    </a:xfrm>
                    <a:prstGeom prst="rect">
                      <a:avLst/>
                    </a:prstGeom>
                  </pic:spPr>
                </pic:pic>
              </a:graphicData>
            </a:graphic>
          </wp:inline>
        </w:drawing>
      </w:r>
    </w:p>
    <w:p w14:paraId="7248E278">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jc w:val="center"/>
        <w:textAlignment w:val="auto"/>
        <w:rPr>
          <w:rFonts w:ascii="Times New Roman" w:hAnsi="Times New Roman" w:eastAsia="宋体" w:cs="Times New Roman"/>
          <w:color w:val="333333"/>
          <w:sz w:val="15"/>
          <w:szCs w:val="15"/>
          <w:shd w:val="clear" w:color="auto" w:fill="FFFFFF"/>
        </w:rPr>
      </w:pPr>
    </w:p>
    <w:p w14:paraId="29AF8F6D">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ascii="Times New Roman" w:hAnsi="Times New Roman" w:eastAsia="宋体" w:cs="Times New Roman"/>
          <w:b/>
          <w:bCs/>
          <w:color w:val="333333"/>
          <w:sz w:val="24"/>
          <w:szCs w:val="24"/>
          <w:shd w:val="clear" w:color="auto" w:fill="FFFFFF"/>
        </w:rPr>
        <w:t>1.4 By clicking the “Linker Info” button, the detailed linker information page for will be displayed.</w:t>
      </w:r>
    </w:p>
    <w:p w14:paraId="26AEC286">
      <w:pPr>
        <w:keepNext w:val="0"/>
        <w:keepLines w:val="0"/>
        <w:pageBreakBefore w:val="0"/>
        <w:kinsoku/>
        <w:wordWrap w:val="0"/>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Using (S)-2-amino-3-(((S)-1-(ethylamino)-1-oxo-3-sulfopropan-2-yl)amino)-3-oxopropane-1-sulfonic acid as an example,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Li</w:t>
      </w:r>
      <w:r>
        <w:rPr>
          <w:rFonts w:hint="eastAsia" w:ascii="Times New Roman" w:hAnsi="Times New Roman" w:eastAsia="宋体" w:cs="Times New Roman"/>
          <w:color w:val="333333"/>
          <w:sz w:val="24"/>
          <w:szCs w:val="24"/>
          <w:shd w:val="clear" w:color="auto" w:fill="FFFFFF"/>
          <w:lang w:val="en-US" w:eastAsia="zh-CN"/>
        </w:rPr>
        <w:t>nker</w:t>
      </w:r>
      <w:r>
        <w:rPr>
          <w:rFonts w:ascii="Times New Roman" w:hAnsi="Times New Roman" w:eastAsia="宋体" w:cs="Times New Roman"/>
          <w:color w:val="333333"/>
          <w:sz w:val="24"/>
          <w:szCs w:val="24"/>
          <w:shd w:val="clear" w:color="auto" w:fill="FFFFFF"/>
        </w:rPr>
        <w:t xml:space="preserve"> Information” section displays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li</w:t>
      </w:r>
      <w:r>
        <w:rPr>
          <w:rFonts w:hint="eastAsia" w:ascii="Times New Roman" w:hAnsi="Times New Roman" w:eastAsia="宋体" w:cs="Times New Roman"/>
          <w:color w:val="333333"/>
          <w:sz w:val="24"/>
          <w:szCs w:val="24"/>
          <w:shd w:val="clear" w:color="auto" w:fill="FFFFFF"/>
          <w:lang w:val="en-US" w:eastAsia="zh-CN"/>
        </w:rPr>
        <w:t>nker</w:t>
      </w:r>
      <w:r>
        <w:rPr>
          <w:rFonts w:ascii="Times New Roman" w:hAnsi="Times New Roman" w:eastAsia="宋体" w:cs="Times New Roman"/>
          <w:color w:val="333333"/>
          <w:sz w:val="24"/>
          <w:szCs w:val="24"/>
          <w:shd w:val="clear" w:color="auto" w:fill="FFFFFF"/>
        </w:rPr>
        <w:t>, including the li</w:t>
      </w:r>
      <w:r>
        <w:rPr>
          <w:rFonts w:hint="eastAsia" w:ascii="Times New Roman" w:hAnsi="Times New Roman" w:eastAsia="宋体" w:cs="Times New Roman"/>
          <w:color w:val="333333"/>
          <w:sz w:val="24"/>
          <w:szCs w:val="24"/>
          <w:shd w:val="clear" w:color="auto" w:fill="FFFFFF"/>
          <w:lang w:val="en-US" w:eastAsia="zh-CN"/>
        </w:rPr>
        <w:t>nker</w:t>
      </w:r>
      <w:r>
        <w:rPr>
          <w:rFonts w:ascii="Times New Roman" w:hAnsi="Times New Roman" w:eastAsia="宋体" w:cs="Times New Roman"/>
          <w:color w:val="333333"/>
          <w:sz w:val="24"/>
          <w:szCs w:val="24"/>
          <w:shd w:val="clear" w:color="auto" w:fill="FFFFFF"/>
        </w:rPr>
        <w:t xml:space="preserve"> ID, name, synonyms, external links, chemical structure, molecular formula, SMILES notation, formula, InChI, InChIKey, IUPAC name, physicochemical properties, and ligand type. It should be noted that the physicochemical properties are calculated using the RDKit tool.</w:t>
      </w:r>
    </w:p>
    <w:p w14:paraId="1A643AE6">
      <w:pPr>
        <w:keepNext w:val="0"/>
        <w:keepLines w:val="0"/>
        <w:pageBreakBefore w:val="0"/>
        <w:kinsoku/>
        <w:overflowPunct/>
        <w:topLinePunct w:val="0"/>
        <w:autoSpaceDE/>
        <w:autoSpaceDN/>
        <w:bidi w:val="0"/>
        <w:adjustRightInd/>
        <w:snapToGrid/>
        <w:spacing w:beforeAutospacing="0" w:afterAutospacing="0" w:line="240" w:lineRule="auto"/>
        <w:jc w:val="center"/>
        <w:textAlignment w:val="auto"/>
        <w:rPr>
          <w:rFonts w:ascii="Times New Roman" w:hAnsi="Times New Roman" w:eastAsia="宋体" w:cs="Times New Roman"/>
          <w:color w:val="333333"/>
          <w:sz w:val="15"/>
          <w:szCs w:val="15"/>
          <w:shd w:val="clear" w:color="auto" w:fill="FFFFFF"/>
        </w:rPr>
      </w:pPr>
      <w:r>
        <w:drawing>
          <wp:inline distT="0" distB="0" distL="114300" distR="114300">
            <wp:extent cx="5271770" cy="7253605"/>
            <wp:effectExtent l="0" t="0" r="11430" b="1079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7"/>
                    <a:stretch>
                      <a:fillRect/>
                    </a:stretch>
                  </pic:blipFill>
                  <pic:spPr>
                    <a:xfrm>
                      <a:off x="0" y="0"/>
                      <a:ext cx="5271770" cy="7253605"/>
                    </a:xfrm>
                    <a:prstGeom prst="rect">
                      <a:avLst/>
                    </a:prstGeom>
                    <a:noFill/>
                    <a:ln>
                      <a:noFill/>
                    </a:ln>
                  </pic:spPr>
                </pic:pic>
              </a:graphicData>
            </a:graphic>
          </wp:inline>
        </w:drawing>
      </w:r>
    </w:p>
    <w:p w14:paraId="489230FB">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The “</w:t>
      </w:r>
      <w:r>
        <w:rPr>
          <w:rFonts w:hint="eastAsia" w:ascii="Times New Roman" w:hAnsi="Times New Roman" w:eastAsia="宋体" w:cs="Times New Roman"/>
          <w:color w:val="333333"/>
          <w:sz w:val="24"/>
          <w:szCs w:val="24"/>
          <w:shd w:val="clear" w:color="auto" w:fill="FFFFFF"/>
          <w:lang w:val="en-US" w:eastAsia="zh-CN"/>
        </w:rPr>
        <w:t>Related RDCs</w:t>
      </w:r>
      <w:r>
        <w:rPr>
          <w:rFonts w:ascii="Times New Roman" w:hAnsi="Times New Roman" w:eastAsia="宋体" w:cs="Times New Roman"/>
          <w:color w:val="333333"/>
          <w:sz w:val="24"/>
          <w:szCs w:val="24"/>
          <w:shd w:val="clear" w:color="auto" w:fill="FFFFFF"/>
        </w:rPr>
        <w:t>” section displays the radionuclide conjugate drugs paired with this linker. Users can click each button to navigate to the corresponding activity page for that radionuclide conjugate drug.</w:t>
      </w:r>
    </w:p>
    <w:p w14:paraId="7781A998">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148965"/>
            <wp:effectExtent l="0" t="0" r="2540" b="0"/>
            <wp:docPr id="2099664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4290" name="图片 1"/>
                    <pic:cNvPicPr>
                      <a:picLocks noChangeAspect="1"/>
                    </pic:cNvPicPr>
                  </pic:nvPicPr>
                  <pic:blipFill>
                    <a:blip r:embed="rId18"/>
                    <a:stretch>
                      <a:fillRect/>
                    </a:stretch>
                  </pic:blipFill>
                  <pic:spPr>
                    <a:xfrm>
                      <a:off x="0" y="0"/>
                      <a:ext cx="5274310" cy="3148965"/>
                    </a:xfrm>
                    <a:prstGeom prst="rect">
                      <a:avLst/>
                    </a:prstGeom>
                  </pic:spPr>
                </pic:pic>
              </a:graphicData>
            </a:graphic>
          </wp:inline>
        </w:drawing>
      </w:r>
    </w:p>
    <w:p w14:paraId="51A8773E">
      <w:pPr>
        <w:keepNext w:val="0"/>
        <w:keepLines w:val="0"/>
        <w:pageBreakBefore w:val="0"/>
        <w:widowControl w:val="0"/>
        <w:kinsoku/>
        <w:wordWrap/>
        <w:overflowPunct/>
        <w:topLinePunct w:val="0"/>
        <w:autoSpaceDE/>
        <w:autoSpaceDN/>
        <w:bidi w:val="0"/>
        <w:adjustRightInd/>
        <w:snapToGrid/>
        <w:spacing w:beforeAutospacing="0" w:afterAutospacing="0" w:line="240" w:lineRule="auto"/>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The “</w:t>
      </w:r>
      <w:r>
        <w:rPr>
          <w:rFonts w:hint="eastAsia" w:ascii="Times New Roman" w:hAnsi="Times New Roman" w:eastAsia="宋体" w:cs="Times New Roman"/>
          <w:color w:val="333333"/>
          <w:sz w:val="24"/>
          <w:szCs w:val="24"/>
          <w:highlight w:val="yellow"/>
          <w:shd w:val="clear" w:color="auto" w:fill="FFFFFF"/>
          <w:lang w:val="en-US" w:eastAsia="zh-CN"/>
        </w:rPr>
        <w:t>Full</w:t>
      </w:r>
      <w:r>
        <w:rPr>
          <w:rFonts w:ascii="Times New Roman" w:hAnsi="Times New Roman" w:eastAsia="宋体" w:cs="Times New Roman"/>
          <w:color w:val="333333"/>
          <w:sz w:val="24"/>
          <w:szCs w:val="24"/>
          <w:highlight w:val="yellow"/>
          <w:shd w:val="clear" w:color="auto" w:fill="FFFFFF"/>
        </w:rPr>
        <w:t xml:space="preserve"> </w:t>
      </w:r>
      <w:r>
        <w:rPr>
          <w:rFonts w:hint="eastAsia" w:ascii="Times New Roman" w:hAnsi="Times New Roman" w:eastAsia="宋体" w:cs="Times New Roman"/>
          <w:color w:val="333333"/>
          <w:sz w:val="24"/>
          <w:szCs w:val="24"/>
          <w:highlight w:val="yellow"/>
          <w:shd w:val="clear" w:color="auto" w:fill="FFFFFF"/>
          <w:lang w:val="en-US" w:eastAsia="zh-CN"/>
        </w:rPr>
        <w:t>information of The Activity</w:t>
      </w:r>
      <w:r>
        <w:rPr>
          <w:rFonts w:ascii="Times New Roman" w:hAnsi="Times New Roman" w:eastAsia="宋体" w:cs="Times New Roman"/>
          <w:color w:val="333333"/>
          <w:sz w:val="24"/>
          <w:szCs w:val="24"/>
          <w:highlight w:val="yellow"/>
          <w:shd w:val="clear" w:color="auto" w:fill="FFFFFF"/>
        </w:rPr>
        <w:t xml:space="preserve"> Data </w:t>
      </w:r>
      <w:r>
        <w:rPr>
          <w:rFonts w:hint="eastAsia" w:ascii="Times New Roman" w:hAnsi="Times New Roman" w:eastAsia="宋体" w:cs="Times New Roman"/>
          <w:color w:val="333333"/>
          <w:sz w:val="24"/>
          <w:szCs w:val="24"/>
          <w:highlight w:val="yellow"/>
          <w:shd w:val="clear" w:color="auto" w:fill="FFFFFF"/>
          <w:lang w:val="en-US" w:eastAsia="zh-CN"/>
        </w:rPr>
        <w:t>of The RDCs</w:t>
      </w:r>
      <w:r>
        <w:rPr>
          <w:rFonts w:ascii="Times New Roman" w:hAnsi="Times New Roman" w:eastAsia="宋体" w:cs="Times New Roman"/>
          <w:color w:val="333333"/>
          <w:sz w:val="24"/>
          <w:szCs w:val="24"/>
          <w:highlight w:val="yellow"/>
          <w:shd w:val="clear" w:color="auto" w:fill="FFFFFF"/>
        </w:rPr>
        <w:t xml:space="preserve"> </w:t>
      </w:r>
      <w:r>
        <w:rPr>
          <w:rFonts w:hint="eastAsia" w:ascii="Times New Roman" w:hAnsi="Times New Roman" w:eastAsia="宋体" w:cs="Times New Roman"/>
          <w:color w:val="333333"/>
          <w:sz w:val="24"/>
          <w:szCs w:val="24"/>
          <w:highlight w:val="yellow"/>
          <w:shd w:val="clear" w:color="auto" w:fill="FFFFFF"/>
          <w:lang w:val="en-US" w:eastAsia="zh-CN"/>
        </w:rPr>
        <w:t>Related to this linker</w:t>
      </w:r>
      <w:r>
        <w:rPr>
          <w:rFonts w:ascii="Times New Roman" w:hAnsi="Times New Roman" w:eastAsia="宋体" w:cs="Times New Roman"/>
          <w:color w:val="333333"/>
          <w:sz w:val="24"/>
          <w:szCs w:val="24"/>
          <w:shd w:val="clear" w:color="auto" w:fill="FFFFFF"/>
        </w:rPr>
        <w:t xml:space="preserve">” section systematically displays various radionuclide conjugates (RDCs) associated with this linker. The list presents different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 xml:space="preserve">conjugates </w:t>
      </w:r>
      <w:r>
        <w:rPr>
          <w:rFonts w:ascii="Times New Roman" w:hAnsi="Times New Roman" w:eastAsia="宋体" w:cs="Times New Roman"/>
          <w:color w:val="333333"/>
          <w:sz w:val="24"/>
          <w:szCs w:val="24"/>
          <w:shd w:val="clear" w:color="auto" w:fill="FFFFFF"/>
        </w:rPr>
        <w:t>(RDCs)</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 xml:space="preserve">and their respective development stages. Users can view an overview of activity data at different levels for each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conjugates</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(RDCs)</w:t>
      </w:r>
      <w:r>
        <w:rPr>
          <w:rFonts w:ascii="Times New Roman" w:hAnsi="Times New Roman" w:eastAsia="宋体" w:cs="Times New Roman"/>
          <w:color w:val="333333"/>
          <w:sz w:val="24"/>
          <w:szCs w:val="24"/>
          <w:shd w:val="clear" w:color="auto" w:fill="FFFFFF"/>
        </w:rPr>
        <w:t>, or click the RDC information to quickly navigate to the corresponding activity detail page for that radionuclide 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0AEA8C03">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1983105"/>
            <wp:effectExtent l="0" t="0" r="2540" b="0"/>
            <wp:docPr id="716845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5445" name="图片 1"/>
                    <pic:cNvPicPr>
                      <a:picLocks noChangeAspect="1"/>
                    </pic:cNvPicPr>
                  </pic:nvPicPr>
                  <pic:blipFill>
                    <a:blip r:embed="rId19"/>
                    <a:stretch>
                      <a:fillRect/>
                    </a:stretch>
                  </pic:blipFill>
                  <pic:spPr>
                    <a:xfrm>
                      <a:off x="0" y="0"/>
                      <a:ext cx="5274310" cy="1983105"/>
                    </a:xfrm>
                    <a:prstGeom prst="rect">
                      <a:avLst/>
                    </a:prstGeom>
                  </pic:spPr>
                </pic:pic>
              </a:graphicData>
            </a:graphic>
          </wp:inline>
        </w:drawing>
      </w:r>
    </w:p>
    <w:p w14:paraId="65EF56CE">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ascii="Times New Roman" w:hAnsi="Times New Roman" w:eastAsia="宋体" w:cs="Times New Roman"/>
          <w:b/>
          <w:bCs/>
          <w:color w:val="333333"/>
          <w:sz w:val="24"/>
          <w:szCs w:val="24"/>
          <w:shd w:val="clear" w:color="auto" w:fill="FFFFFF"/>
        </w:rPr>
        <w:t xml:space="preserve">1.5 By clicking the “Chelator Info” button, the detailed </w:t>
      </w:r>
      <w:r>
        <w:rPr>
          <w:rFonts w:ascii="Times New Roman" w:hAnsi="Times New Roman" w:eastAsia="宋体" w:cs="Times New Roman"/>
          <w:b/>
          <w:bCs/>
          <w:color w:val="333333"/>
          <w:sz w:val="24"/>
          <w:szCs w:val="24"/>
          <w:shd w:val="clear" w:color="auto" w:fill="FFFFFF"/>
        </w:rPr>
        <w:t>Chelator</w:t>
      </w:r>
      <w:r>
        <w:rPr>
          <w:rFonts w:ascii="Times New Roman" w:hAnsi="Times New Roman" w:eastAsia="宋体" w:cs="Times New Roman"/>
          <w:b/>
          <w:bCs/>
          <w:color w:val="333333"/>
          <w:sz w:val="24"/>
          <w:szCs w:val="24"/>
          <w:shd w:val="clear" w:color="auto" w:fill="FFFFFF"/>
        </w:rPr>
        <w:t xml:space="preserve"> information page for will be displayed.</w:t>
      </w:r>
    </w:p>
    <w:p w14:paraId="4AE653C4">
      <w:pPr>
        <w:pStyle w:val="10"/>
        <w:keepNext w:val="0"/>
        <w:keepLines w:val="0"/>
        <w:pageBreakBefore w:val="0"/>
        <w:kinsoku/>
        <w:overflowPunct/>
        <w:topLinePunct w:val="0"/>
        <w:autoSpaceDE/>
        <w:autoSpaceDN/>
        <w:bidi w:val="0"/>
        <w:adjustRightInd/>
        <w:snapToGrid/>
        <w:spacing w:beforeAutospacing="0" w:afterAutospacing="0" w:line="240" w:lineRule="auto"/>
        <w:ind w:left="0" w:leftChars="0" w:firstLine="0" w:firstLineChars="0"/>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DOTA as an example, the “General Information of This Chelator”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chelator, including its chelator ID, name, synonyms, external links, chemical structure, molecular formula, SMILES notation, InChI , InChIKey, IUPAC name, physicochemical properties, and ligand type. Please note that the physicochemical properties are calculated using the RDKit tool.</w:t>
      </w:r>
    </w:p>
    <w:p w14:paraId="7DC1C98A">
      <w:pPr>
        <w:keepNext w:val="0"/>
        <w:keepLines w:val="0"/>
        <w:pageBreakBefore w:val="0"/>
        <w:kinsoku/>
        <w:overflowPunct/>
        <w:topLinePunct w:val="0"/>
        <w:autoSpaceDE/>
        <w:autoSpaceDN/>
        <w:bidi w:val="0"/>
        <w:adjustRightInd/>
        <w:snapToGrid/>
        <w:spacing w:beforeAutospacing="0" w:afterAutospacing="0" w:line="240" w:lineRule="auto"/>
        <w:jc w:val="left"/>
        <w:textAlignment w:val="auto"/>
        <w:rPr>
          <w:rFonts w:ascii="Times New Roman" w:hAnsi="Times New Roman" w:eastAsia="宋体" w:cs="Times New Roman"/>
          <w:color w:val="333333"/>
          <w:sz w:val="15"/>
          <w:szCs w:val="15"/>
          <w:shd w:val="clear" w:color="auto" w:fill="FFFFFF"/>
        </w:rPr>
      </w:pPr>
      <w:r>
        <w:rPr>
          <w:shd w:val="clear" w:color="auto" w:fill="FFFFFF"/>
        </w:rPr>
        <w:drawing>
          <wp:inline distT="0" distB="0" distL="0" distR="0">
            <wp:extent cx="5274310" cy="7790815"/>
            <wp:effectExtent l="0" t="0" r="2540" b="635"/>
            <wp:docPr id="71654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1259" name="图片 1"/>
                    <pic:cNvPicPr>
                      <a:picLocks noChangeAspect="1"/>
                    </pic:cNvPicPr>
                  </pic:nvPicPr>
                  <pic:blipFill>
                    <a:blip r:embed="rId20"/>
                    <a:stretch>
                      <a:fillRect/>
                    </a:stretch>
                  </pic:blipFill>
                  <pic:spPr>
                    <a:xfrm>
                      <a:off x="0" y="0"/>
                      <a:ext cx="5274310" cy="7790815"/>
                    </a:xfrm>
                    <a:prstGeom prst="rect">
                      <a:avLst/>
                    </a:prstGeom>
                  </pic:spPr>
                </pic:pic>
              </a:graphicData>
            </a:graphic>
          </wp:inline>
        </w:drawing>
      </w:r>
    </w:p>
    <w:p w14:paraId="688BA47E">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24"/>
          <w:szCs w:val="24"/>
          <w:shd w:val="clear" w:color="auto" w:fill="FFFFFF"/>
          <w:lang w:val="en-US" w:eastAsia="zh-CN"/>
        </w:rPr>
      </w:pPr>
      <w:r>
        <w:rPr>
          <w:rFonts w:ascii="Times New Roman" w:hAnsi="Times New Roman" w:eastAsia="宋体" w:cs="Times New Roman"/>
          <w:color w:val="333333"/>
          <w:sz w:val="24"/>
          <w:szCs w:val="24"/>
          <w:shd w:val="clear" w:color="auto" w:fill="FFFFFF"/>
        </w:rPr>
        <w:t>The “Each Radionuclide Conjugate Related to This</w:t>
      </w:r>
      <w:r>
        <w:rPr>
          <w:rFonts w:hint="eastAsia" w:ascii="Times New Roman" w:hAnsi="Times New Roman" w:eastAsia="宋体" w:cs="Times New Roman"/>
          <w:color w:val="333333"/>
          <w:sz w:val="24"/>
          <w:szCs w:val="24"/>
          <w:shd w:val="clear" w:color="auto" w:fill="FFFFFF"/>
        </w:rPr>
        <w:t xml:space="preserve"> Chelator</w:t>
      </w:r>
      <w:r>
        <w:rPr>
          <w:rFonts w:ascii="Times New Roman" w:hAnsi="Times New Roman" w:eastAsia="宋体" w:cs="Times New Roman"/>
          <w:color w:val="333333"/>
          <w:sz w:val="24"/>
          <w:szCs w:val="24"/>
          <w:shd w:val="clear" w:color="auto" w:fill="FFFFFF"/>
        </w:rPr>
        <w:t xml:space="preserve">” section displays the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s </w:t>
      </w:r>
      <w:r>
        <w:rPr>
          <w:rFonts w:hint="eastAsia" w:ascii="Times New Roman" w:hAnsi="Times New Roman" w:eastAsia="宋体" w:cs="Times New Roman"/>
          <w:color w:val="333333"/>
          <w:sz w:val="24"/>
          <w:szCs w:val="24"/>
          <w:shd w:val="clear" w:color="auto" w:fill="FFFFFF"/>
          <w:lang w:val="en-US" w:eastAsia="zh-CN"/>
        </w:rPr>
        <w:t xml:space="preserve">(RDCs) </w:t>
      </w:r>
      <w:r>
        <w:rPr>
          <w:rFonts w:ascii="Times New Roman" w:hAnsi="Times New Roman" w:eastAsia="宋体" w:cs="Times New Roman"/>
          <w:color w:val="333333"/>
          <w:sz w:val="24"/>
          <w:szCs w:val="24"/>
          <w:shd w:val="clear" w:color="auto" w:fill="FFFFFF"/>
        </w:rPr>
        <w:t>associated with this</w:t>
      </w:r>
      <w:r>
        <w:rPr>
          <w:rFonts w:hint="eastAsia" w:ascii="Times New Roman" w:hAnsi="Times New Roman" w:eastAsia="宋体" w:cs="Times New Roman"/>
          <w:color w:val="333333"/>
          <w:sz w:val="24"/>
          <w:szCs w:val="24"/>
          <w:shd w:val="clear" w:color="auto" w:fill="FFFFFF"/>
        </w:rPr>
        <w:t xml:space="preserve"> chelator</w:t>
      </w:r>
      <w:r>
        <w:rPr>
          <w:rFonts w:ascii="Times New Roman" w:hAnsi="Times New Roman" w:eastAsia="宋体" w:cs="Times New Roman"/>
          <w:color w:val="333333"/>
          <w:sz w:val="24"/>
          <w:szCs w:val="24"/>
          <w:shd w:val="clear" w:color="auto" w:fill="FFFFFF"/>
        </w:rPr>
        <w:t xml:space="preserve">. Clicking each button will redirect users to the corresponding detail page for that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p>
    <w:p w14:paraId="0BC4BD39">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214370"/>
            <wp:effectExtent l="0" t="0" r="2540" b="5080"/>
            <wp:docPr id="697667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67471" name="图片 1"/>
                    <pic:cNvPicPr>
                      <a:picLocks noChangeAspect="1"/>
                    </pic:cNvPicPr>
                  </pic:nvPicPr>
                  <pic:blipFill>
                    <a:blip r:embed="rId21"/>
                    <a:stretch>
                      <a:fillRect/>
                    </a:stretch>
                  </pic:blipFill>
                  <pic:spPr>
                    <a:xfrm>
                      <a:off x="0" y="0"/>
                      <a:ext cx="5274310" cy="3214370"/>
                    </a:xfrm>
                    <a:prstGeom prst="rect">
                      <a:avLst/>
                    </a:prstGeom>
                  </pic:spPr>
                </pic:pic>
              </a:graphicData>
            </a:graphic>
          </wp:inline>
        </w:drawing>
      </w:r>
    </w:p>
    <w:p w14:paraId="48A8DD20">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ascii="Times New Roman" w:hAnsi="Times New Roman" w:eastAsia="宋体" w:cs="Times New Roman"/>
          <w:b/>
          <w:bCs/>
          <w:color w:val="333333"/>
          <w:sz w:val="24"/>
          <w:szCs w:val="24"/>
          <w:shd w:val="clear" w:color="auto" w:fill="FFFFFF"/>
        </w:rPr>
        <w:t>1.</w:t>
      </w:r>
      <w:r>
        <w:rPr>
          <w:rFonts w:hint="eastAsia" w:ascii="Times New Roman" w:hAnsi="Times New Roman" w:eastAsia="宋体" w:cs="Times New Roman"/>
          <w:b/>
          <w:bCs/>
          <w:color w:val="333333"/>
          <w:sz w:val="24"/>
          <w:szCs w:val="24"/>
          <w:shd w:val="clear" w:color="auto" w:fill="FFFFFF"/>
        </w:rPr>
        <w:t>6</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rPr>
        <w:t xml:space="preserve">Radionuclide </w:t>
      </w:r>
      <w:r>
        <w:rPr>
          <w:rFonts w:ascii="Times New Roman" w:hAnsi="Times New Roman" w:eastAsia="宋体" w:cs="Times New Roman"/>
          <w:b/>
          <w:bCs/>
          <w:color w:val="333333"/>
          <w:sz w:val="24"/>
          <w:szCs w:val="24"/>
          <w:shd w:val="clear" w:color="auto" w:fill="FFFFFF"/>
        </w:rPr>
        <w:t xml:space="preserve">Info” button, the detailed </w:t>
      </w:r>
      <w:r>
        <w:rPr>
          <w:rFonts w:hint="eastAsia" w:ascii="Times New Roman" w:hAnsi="Times New Roman" w:eastAsia="宋体" w:cs="Times New Roman"/>
          <w:b/>
          <w:bCs/>
          <w:color w:val="333333"/>
          <w:sz w:val="24"/>
          <w:szCs w:val="24"/>
          <w:shd w:val="clear" w:color="auto" w:fill="FFFFFF"/>
        </w:rPr>
        <w:t>Radionuclide</w:t>
      </w:r>
      <w:r>
        <w:rPr>
          <w:rFonts w:ascii="Times New Roman" w:hAnsi="Times New Roman" w:eastAsia="宋体" w:cs="Times New Roman"/>
          <w:b/>
          <w:bCs/>
          <w:color w:val="333333"/>
          <w:sz w:val="24"/>
          <w:szCs w:val="24"/>
          <w:shd w:val="clear" w:color="auto" w:fill="FFFFFF"/>
        </w:rPr>
        <w:t xml:space="preserve"> information page for will be displayed.</w:t>
      </w:r>
    </w:p>
    <w:p w14:paraId="07BE0BB5">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Gallium-68 as an example, the “General Information of This Radionuclide”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Radionuclide, including its</w:t>
      </w:r>
      <w:r>
        <w:rPr>
          <w:sz w:val="24"/>
          <w:szCs w:val="24"/>
        </w:rPr>
        <w:t xml:space="preserve"> </w:t>
      </w:r>
      <w:r>
        <w:rPr>
          <w:rFonts w:ascii="Times New Roman" w:hAnsi="Times New Roman" w:eastAsia="宋体" w:cs="Times New Roman"/>
          <w:color w:val="333333"/>
          <w:sz w:val="24"/>
          <w:szCs w:val="24"/>
          <w:shd w:val="clear" w:color="auto" w:fill="FFFFFF"/>
        </w:rPr>
        <w:t>Radionuclide ID, name, synonyms,</w:t>
      </w:r>
      <w:r>
        <w:rPr>
          <w:sz w:val="24"/>
          <w:szCs w:val="24"/>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_half_life,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-emission,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_energy</w:t>
      </w:r>
      <w:r>
        <w:rPr>
          <w:rFonts w:ascii="Times New Roman" w:hAnsi="Times New Roman" w:eastAsia="宋体" w:cs="Times New Roman"/>
          <w:color w:val="333333"/>
          <w:sz w:val="24"/>
          <w:szCs w:val="24"/>
          <w:shd w:val="clear" w:color="auto" w:fill="FFFFFF"/>
        </w:rPr>
        <w:t xml:space="preserve"> </w:t>
      </w:r>
      <w:r>
        <w:rPr>
          <w:rFonts w:hint="eastAsia" w:ascii="Times New Roman" w:hAnsi="Times New Roman" w:eastAsia="宋体" w:cs="Times New Roman"/>
          <w:color w:val="333333"/>
          <w:sz w:val="24"/>
          <w:szCs w:val="24"/>
          <w:shd w:val="clear" w:color="auto" w:fill="FFFFFF"/>
        </w:rPr>
        <w:t>.</w:t>
      </w:r>
    </w:p>
    <w:p w14:paraId="634CEAB8">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2400300"/>
            <wp:effectExtent l="0" t="0" r="2540" b="0"/>
            <wp:docPr id="201159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5183" name="图片 1"/>
                    <pic:cNvPicPr>
                      <a:picLocks noChangeAspect="1"/>
                    </pic:cNvPicPr>
                  </pic:nvPicPr>
                  <pic:blipFill>
                    <a:blip r:embed="rId22"/>
                    <a:srcRect t="2578"/>
                    <a:stretch>
                      <a:fillRect/>
                    </a:stretch>
                  </pic:blipFill>
                  <pic:spPr>
                    <a:xfrm>
                      <a:off x="0" y="0"/>
                      <a:ext cx="5274310" cy="2400300"/>
                    </a:xfrm>
                    <a:prstGeom prst="rect">
                      <a:avLst/>
                    </a:prstGeom>
                    <a:ln>
                      <a:noFill/>
                    </a:ln>
                  </pic:spPr>
                </pic:pic>
              </a:graphicData>
            </a:graphic>
          </wp:inline>
        </w:drawing>
      </w:r>
    </w:p>
    <w:p w14:paraId="77BFDBB4">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The “</w:t>
      </w:r>
      <w:r>
        <w:rPr>
          <w:rFonts w:hint="eastAsia" w:ascii="Times New Roman" w:hAnsi="Times New Roman" w:eastAsia="宋体" w:cs="Times New Roman"/>
          <w:color w:val="333333"/>
          <w:sz w:val="24"/>
          <w:szCs w:val="24"/>
          <w:shd w:val="clear" w:color="auto" w:fill="FFFFFF"/>
          <w:lang w:val="en-US" w:eastAsia="zh-CN"/>
        </w:rPr>
        <w:t>Related RDCs</w:t>
      </w:r>
      <w:r>
        <w:rPr>
          <w:rFonts w:ascii="Times New Roman" w:hAnsi="Times New Roman" w:eastAsia="宋体" w:cs="Times New Roman"/>
          <w:color w:val="333333"/>
          <w:sz w:val="24"/>
          <w:szCs w:val="24"/>
          <w:shd w:val="clear" w:color="auto" w:fill="FFFFFF"/>
        </w:rPr>
        <w:t>” section displays the radionuclide drug</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rPr>
        <w:t xml:space="preserve"> </w:t>
      </w:r>
      <w:r>
        <w:rPr>
          <w:rFonts w:hint="eastAsia" w:ascii="Times New Roman" w:hAnsi="Times New Roman" w:eastAsia="宋体" w:cs="Times New Roman"/>
          <w:color w:val="333333"/>
          <w:sz w:val="24"/>
          <w:szCs w:val="24"/>
          <w:shd w:val="clear" w:color="auto" w:fill="FFFFFF"/>
          <w:lang w:val="en-US" w:eastAsia="zh-CN"/>
        </w:rPr>
        <w:t>r</w:t>
      </w:r>
      <w:r>
        <w:rPr>
          <w:rFonts w:ascii="Times New Roman" w:hAnsi="Times New Roman" w:eastAsia="宋体" w:cs="Times New Roman"/>
          <w:color w:val="333333"/>
          <w:sz w:val="24"/>
          <w:szCs w:val="24"/>
          <w:shd w:val="clear" w:color="auto" w:fill="FFFFFF"/>
        </w:rPr>
        <w:t>adionuclide. Clicking each button will redirect users to the corresponding detail page for that radionuclide</w:t>
      </w:r>
      <w:r>
        <w:rPr>
          <w:rFonts w:hint="eastAsia" w:ascii="Times New Roman" w:hAnsi="Times New Roman" w:eastAsia="宋体" w:cs="Times New Roman"/>
          <w:color w:val="333333"/>
          <w:sz w:val="24"/>
          <w:szCs w:val="24"/>
          <w:shd w:val="clear" w:color="auto" w:fill="FFFFFF"/>
          <w:lang w:val="en-US" w:eastAsia="zh-CN"/>
        </w:rPr>
        <w:t xml:space="preserve"> drug </w:t>
      </w:r>
      <w:r>
        <w:rPr>
          <w:rFonts w:ascii="Times New Roman" w:hAnsi="Times New Roman" w:eastAsia="宋体" w:cs="Times New Roman"/>
          <w:color w:val="333333"/>
          <w:sz w:val="24"/>
          <w:szCs w:val="24"/>
          <w:shd w:val="clear" w:color="auto" w:fill="FFFFFF"/>
        </w:rPr>
        <w:t>conjugated</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6DE7DA73">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203575"/>
            <wp:effectExtent l="0" t="0" r="2540" b="0"/>
            <wp:docPr id="1669745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5884" name="图片 1"/>
                    <pic:cNvPicPr>
                      <a:picLocks noChangeAspect="1"/>
                    </pic:cNvPicPr>
                  </pic:nvPicPr>
                  <pic:blipFill>
                    <a:blip r:embed="rId23"/>
                    <a:stretch>
                      <a:fillRect/>
                    </a:stretch>
                  </pic:blipFill>
                  <pic:spPr>
                    <a:xfrm>
                      <a:off x="0" y="0"/>
                      <a:ext cx="5274310" cy="3203575"/>
                    </a:xfrm>
                    <a:prstGeom prst="rect">
                      <a:avLst/>
                    </a:prstGeom>
                  </pic:spPr>
                </pic:pic>
              </a:graphicData>
            </a:graphic>
          </wp:inline>
        </w:drawing>
      </w:r>
    </w:p>
    <w:p w14:paraId="2608E713">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ascii="Times New Roman" w:hAnsi="Times New Roman" w:eastAsia="宋体" w:cs="Times New Roman"/>
          <w:b/>
          <w:bCs/>
          <w:color w:val="333333"/>
          <w:sz w:val="24"/>
          <w:szCs w:val="24"/>
          <w:shd w:val="clear" w:color="auto" w:fill="FFFFFF"/>
        </w:rPr>
        <w:t>1.</w:t>
      </w:r>
      <w:r>
        <w:rPr>
          <w:rFonts w:hint="eastAsia" w:ascii="Times New Roman" w:hAnsi="Times New Roman" w:eastAsia="宋体" w:cs="Times New Roman"/>
          <w:b/>
          <w:bCs/>
          <w:color w:val="333333"/>
          <w:sz w:val="24"/>
          <w:szCs w:val="24"/>
          <w:shd w:val="clear" w:color="auto" w:fill="FFFFFF"/>
        </w:rPr>
        <w:t>7</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rPr>
        <w:t xml:space="preserve">Target </w:t>
      </w:r>
      <w:r>
        <w:rPr>
          <w:rFonts w:ascii="Times New Roman" w:hAnsi="Times New Roman" w:eastAsia="宋体" w:cs="Times New Roman"/>
          <w:b/>
          <w:bCs/>
          <w:color w:val="333333"/>
          <w:sz w:val="24"/>
          <w:szCs w:val="24"/>
          <w:shd w:val="clear" w:color="auto" w:fill="FFFFFF"/>
        </w:rPr>
        <w:t xml:space="preserve">Info” button, the detailed </w:t>
      </w:r>
      <w:r>
        <w:rPr>
          <w:rFonts w:hint="eastAsia" w:ascii="Times New Roman" w:hAnsi="Times New Roman" w:eastAsia="宋体" w:cs="Times New Roman"/>
          <w:b/>
          <w:bCs/>
          <w:color w:val="333333"/>
          <w:sz w:val="24"/>
          <w:szCs w:val="24"/>
          <w:shd w:val="clear" w:color="auto" w:fill="FFFFFF"/>
          <w:lang w:val="en-US" w:eastAsia="zh-CN"/>
        </w:rPr>
        <w:t>Target</w:t>
      </w:r>
      <w:r>
        <w:rPr>
          <w:rFonts w:ascii="Times New Roman" w:hAnsi="Times New Roman" w:eastAsia="宋体" w:cs="Times New Roman"/>
          <w:b/>
          <w:bCs/>
          <w:color w:val="333333"/>
          <w:sz w:val="24"/>
          <w:szCs w:val="24"/>
          <w:shd w:val="clear" w:color="auto" w:fill="FFFFFF"/>
        </w:rPr>
        <w:t xml:space="preserve"> information page for will be displayed.</w:t>
      </w:r>
    </w:p>
    <w:p w14:paraId="70A19611">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w:t>
      </w:r>
      <w:r>
        <w:rPr>
          <w:rFonts w:hint="eastAsia" w:ascii="Times New Roman" w:hAnsi="Times New Roman" w:eastAsia="宋体" w:cs="Times New Roman"/>
          <w:color w:val="333333"/>
          <w:sz w:val="24"/>
          <w:szCs w:val="24"/>
          <w:shd w:val="clear" w:color="auto" w:fill="FFFFFF"/>
        </w:rPr>
        <w:t>FAP</w:t>
      </w:r>
      <w:r>
        <w:rPr>
          <w:rFonts w:ascii="Times New Roman" w:hAnsi="Times New Roman" w:eastAsia="宋体" w:cs="Times New Roman"/>
          <w:color w:val="333333"/>
          <w:sz w:val="24"/>
          <w:szCs w:val="24"/>
          <w:shd w:val="clear" w:color="auto" w:fill="FFFFFF"/>
        </w:rPr>
        <w:t xml:space="preserve"> as an example, the “General Information of This </w:t>
      </w:r>
      <w:r>
        <w:rPr>
          <w:rFonts w:hint="eastAsia" w:ascii="Times New Roman" w:hAnsi="Times New Roman" w:eastAsia="宋体" w:cs="Times New Roman"/>
          <w:color w:val="333333"/>
          <w:sz w:val="24"/>
          <w:szCs w:val="24"/>
          <w:shd w:val="clear" w:color="auto" w:fill="FFFFFF"/>
        </w:rPr>
        <w:t>Target</w:t>
      </w:r>
      <w:r>
        <w:rPr>
          <w:rFonts w:ascii="Times New Roman" w:hAnsi="Times New Roman" w:eastAsia="宋体" w:cs="Times New Roman"/>
          <w:color w:val="333333"/>
          <w:sz w:val="24"/>
          <w:szCs w:val="24"/>
          <w:shd w:val="clear" w:color="auto" w:fill="FFFFFF"/>
        </w:rPr>
        <w:t xml:space="preserv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Target, including its</w:t>
      </w:r>
      <w:r>
        <w:rPr>
          <w:sz w:val="24"/>
          <w:szCs w:val="24"/>
        </w:rPr>
        <w:t xml:space="preserve"> </w:t>
      </w:r>
      <w:r>
        <w:rPr>
          <w:rFonts w:ascii="Times New Roman" w:hAnsi="Times New Roman" w:eastAsia="宋体" w:cs="Times New Roman"/>
          <w:color w:val="333333"/>
          <w:sz w:val="24"/>
          <w:szCs w:val="24"/>
          <w:shd w:val="clear" w:color="auto" w:fill="FFFFFF"/>
        </w:rPr>
        <w:t xml:space="preserve">Target ID, name, </w:t>
      </w:r>
      <w:r>
        <w:rPr>
          <w:rFonts w:hint="eastAsia" w:ascii="Times New Roman" w:hAnsi="Times New Roman" w:eastAsia="宋体" w:cs="Times New Roman"/>
          <w:color w:val="333333"/>
          <w:sz w:val="24"/>
          <w:szCs w:val="24"/>
          <w:shd w:val="clear" w:color="auto" w:fill="FFFFFF"/>
        </w:rPr>
        <w:t>external_ID</w:t>
      </w:r>
      <w:r>
        <w:rPr>
          <w:rFonts w:ascii="Times New Roman" w:hAnsi="Times New Roman" w:eastAsia="宋体" w:cs="Times New Roman"/>
          <w:color w:val="333333"/>
          <w:sz w:val="24"/>
          <w:szCs w:val="24"/>
          <w:shd w:val="clear" w:color="auto" w:fill="FFFFFF"/>
        </w:rPr>
        <w:t>,</w:t>
      </w:r>
      <w:r>
        <w:rPr>
          <w:sz w:val="24"/>
          <w:szCs w:val="24"/>
        </w:rPr>
        <w:t xml:space="preserve"> </w:t>
      </w:r>
      <w:r>
        <w:rPr>
          <w:rFonts w:hint="eastAsia" w:ascii="Times New Roman" w:hAnsi="Times New Roman" w:eastAsia="宋体" w:cs="Times New Roman"/>
          <w:color w:val="333333"/>
          <w:sz w:val="24"/>
          <w:szCs w:val="24"/>
          <w:shd w:val="clear" w:color="auto" w:fill="FFFFFF"/>
        </w:rPr>
        <w:t>related-d</w:t>
      </w:r>
      <w:r>
        <w:rPr>
          <w:rFonts w:hint="eastAsia" w:ascii="Times New Roman" w:hAnsi="Times New Roman" w:eastAsia="宋体" w:cs="Times New Roman"/>
          <w:color w:val="333333"/>
          <w:sz w:val="24"/>
          <w:szCs w:val="24"/>
          <w:shd w:val="clear" w:color="auto" w:fill="FFFFFF"/>
          <w:lang w:val="en-US" w:eastAsia="zh-CN"/>
        </w:rPr>
        <w:t>e</w:t>
      </w:r>
      <w:r>
        <w:rPr>
          <w:rFonts w:hint="eastAsia" w:ascii="Times New Roman" w:hAnsi="Times New Roman" w:eastAsia="宋体" w:cs="Times New Roman"/>
          <w:color w:val="333333"/>
          <w:sz w:val="24"/>
          <w:szCs w:val="24"/>
          <w:shd w:val="clear" w:color="auto" w:fill="FFFFFF"/>
        </w:rPr>
        <w:t>scription.</w:t>
      </w:r>
    </w:p>
    <w:p w14:paraId="5558EF04">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1854835"/>
            <wp:effectExtent l="0" t="0" r="2540" b="0"/>
            <wp:docPr id="60837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5561" name="图片 1"/>
                    <pic:cNvPicPr>
                      <a:picLocks noChangeAspect="1"/>
                    </pic:cNvPicPr>
                  </pic:nvPicPr>
                  <pic:blipFill>
                    <a:blip r:embed="rId24"/>
                    <a:stretch>
                      <a:fillRect/>
                    </a:stretch>
                  </pic:blipFill>
                  <pic:spPr>
                    <a:xfrm>
                      <a:off x="0" y="0"/>
                      <a:ext cx="5274310" cy="1854835"/>
                    </a:xfrm>
                    <a:prstGeom prst="rect">
                      <a:avLst/>
                    </a:prstGeom>
                  </pic:spPr>
                </pic:pic>
              </a:graphicData>
            </a:graphic>
          </wp:inline>
        </w:drawing>
      </w:r>
    </w:p>
    <w:p w14:paraId="2A970F94">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333333"/>
          <w:sz w:val="24"/>
          <w:szCs w:val="24"/>
          <w:shd w:val="clear" w:color="auto" w:fill="FFFFFF"/>
          <w:lang w:val="en-US" w:eastAsia="zh-CN"/>
        </w:rPr>
      </w:pPr>
      <w:r>
        <w:rPr>
          <w:rFonts w:ascii="Times New Roman" w:hAnsi="Times New Roman" w:eastAsia="宋体" w:cs="Times New Roman"/>
          <w:color w:val="333333"/>
          <w:sz w:val="24"/>
          <w:szCs w:val="24"/>
          <w:shd w:val="clear" w:color="auto" w:fill="FFFFFF"/>
        </w:rPr>
        <w:t>The “Each Radionuclide Conjugate Related to This</w:t>
      </w:r>
      <w:r>
        <w:rPr>
          <w:rFonts w:hint="eastAsia" w:ascii="Times New Roman" w:hAnsi="Times New Roman" w:eastAsia="宋体" w:cs="Times New Roman"/>
          <w:color w:val="333333"/>
          <w:sz w:val="24"/>
          <w:szCs w:val="24"/>
          <w:shd w:val="clear" w:color="auto" w:fill="FFFFFF"/>
        </w:rPr>
        <w:t xml:space="preserve"> target</w:t>
      </w:r>
      <w:r>
        <w:rPr>
          <w:rFonts w:ascii="Times New Roman" w:hAnsi="Times New Roman" w:eastAsia="宋体" w:cs="Times New Roman"/>
          <w:color w:val="333333"/>
          <w:sz w:val="24"/>
          <w:szCs w:val="24"/>
          <w:shd w:val="clear" w:color="auto" w:fill="FFFFFF"/>
        </w:rPr>
        <w:t xml:space="preserve">” section displays the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rPr>
        <w:t xml:space="preserve"> </w:t>
      </w:r>
      <w:r>
        <w:rPr>
          <w:rFonts w:hint="eastAsia" w:ascii="Times New Roman" w:hAnsi="Times New Roman" w:eastAsia="宋体" w:cs="Times New Roman"/>
          <w:color w:val="333333"/>
          <w:sz w:val="24"/>
          <w:szCs w:val="24"/>
          <w:shd w:val="clear" w:color="auto" w:fill="FFFFFF"/>
          <w:lang w:val="en-US" w:eastAsia="zh-CN"/>
        </w:rPr>
        <w:t>Target</w:t>
      </w:r>
      <w:r>
        <w:rPr>
          <w:rFonts w:ascii="Times New Roman" w:hAnsi="Times New Roman" w:eastAsia="宋体" w:cs="Times New Roman"/>
          <w:color w:val="333333"/>
          <w:sz w:val="24"/>
          <w:szCs w:val="24"/>
          <w:shd w:val="clear" w:color="auto" w:fill="FFFFFF"/>
        </w:rPr>
        <w:t>. Clicking each button will redirect users to the corresponding detail page for that radionuclide</w:t>
      </w:r>
      <w:r>
        <w:rPr>
          <w:rFonts w:hint="eastAsia" w:ascii="Times New Roman" w:hAnsi="Times New Roman" w:eastAsia="宋体" w:cs="Times New Roman"/>
          <w:color w:val="333333"/>
          <w:sz w:val="24"/>
          <w:szCs w:val="24"/>
          <w:shd w:val="clear" w:color="auto" w:fill="FFFFFF"/>
          <w:lang w:val="en-US" w:eastAsia="zh-CN"/>
        </w:rPr>
        <w:t xml:space="preserve"> 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p>
    <w:p w14:paraId="5064ABB0">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ascii="Times New Roman" w:hAnsi="Times New Roman" w:eastAsia="宋体" w:cs="Times New Roman"/>
          <w:color w:val="333333"/>
          <w:sz w:val="15"/>
          <w:szCs w:val="15"/>
          <w:shd w:val="clear" w:color="auto" w:fill="FFFFFF"/>
        </w:rPr>
      </w:pPr>
    </w:p>
    <w:p w14:paraId="53519185">
      <w:pPr>
        <w:pStyle w:val="10"/>
        <w:keepNext w:val="0"/>
        <w:keepLines w:val="0"/>
        <w:pageBreakBefore w:val="0"/>
        <w:kinsoku/>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161665"/>
            <wp:effectExtent l="0" t="0" r="2540" b="635"/>
            <wp:docPr id="497877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7630" name="图片 1"/>
                    <pic:cNvPicPr>
                      <a:picLocks noChangeAspect="1"/>
                    </pic:cNvPicPr>
                  </pic:nvPicPr>
                  <pic:blipFill>
                    <a:blip r:embed="rId25"/>
                    <a:stretch>
                      <a:fillRect/>
                    </a:stretch>
                  </pic:blipFill>
                  <pic:spPr>
                    <a:xfrm>
                      <a:off x="0" y="0"/>
                      <a:ext cx="5274310" cy="316166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汉仪字酷堂长林体W">
    <w:panose1 w:val="00020600040101010101"/>
    <w:charset w:val="86"/>
    <w:family w:val="auto"/>
    <w:pitch w:val="default"/>
    <w:sig w:usb0="8000003F" w:usb1="1AC104FA" w:usb2="00000016" w:usb3="00000000" w:csb0="0004009F" w:csb1="00000000"/>
  </w:font>
  <w:font w:name="汉仪中宋简">
    <w:panose1 w:val="02010600000101010101"/>
    <w:charset w:val="80"/>
    <w:family w:val="auto"/>
    <w:pitch w:val="default"/>
    <w:sig w:usb0="800002BF" w:usb1="184F6CF8" w:usb2="00000012" w:usb3="00000000" w:csb0="0002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BAFD5"/>
    <w:multiLevelType w:val="multilevel"/>
    <w:tmpl w:val="CFBBAFD5"/>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28FCBC74"/>
    <w:multiLevelType w:val="singleLevel"/>
    <w:tmpl w:val="28FCBC74"/>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547E53"/>
    <w:rsid w:val="000144AD"/>
    <w:rsid w:val="00350E80"/>
    <w:rsid w:val="00590E2F"/>
    <w:rsid w:val="0078107F"/>
    <w:rsid w:val="00861E1E"/>
    <w:rsid w:val="00A77179"/>
    <w:rsid w:val="00BB651C"/>
    <w:rsid w:val="00D54120"/>
    <w:rsid w:val="00D72BB9"/>
    <w:rsid w:val="00DA15DC"/>
    <w:rsid w:val="00E1655D"/>
    <w:rsid w:val="00E37D4B"/>
    <w:rsid w:val="0E871EA4"/>
    <w:rsid w:val="22CA711F"/>
    <w:rsid w:val="323532A9"/>
    <w:rsid w:val="350238D8"/>
    <w:rsid w:val="3A424D31"/>
    <w:rsid w:val="4F756CDE"/>
    <w:rsid w:val="512C1180"/>
    <w:rsid w:val="7954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uiPriority w:val="0"/>
    <w:pPr>
      <w:tabs>
        <w:tab w:val="center" w:pos="4153"/>
        <w:tab w:val="right" w:pos="8306"/>
      </w:tabs>
      <w:snapToGrid w:val="0"/>
      <w:jc w:val="center"/>
    </w:pPr>
    <w:rPr>
      <w:sz w:val="18"/>
      <w:szCs w:val="18"/>
    </w:rPr>
  </w:style>
  <w:style w:type="paragraph" w:styleId="4">
    <w:name w:val="Normal (Web)"/>
    <w:basedOn w:val="1"/>
    <w:uiPriority w:val="0"/>
    <w:pPr>
      <w:spacing w:beforeAutospacing="1" w:afterAutospacing="1"/>
      <w:jc w:val="left"/>
    </w:pPr>
    <w:rPr>
      <w:rFonts w:cs="Times New Roman"/>
      <w:kern w:val="0"/>
      <w:sz w:val="24"/>
    </w:rPr>
  </w:style>
  <w:style w:type="character" w:styleId="7">
    <w:name w:val="Strong"/>
    <w:basedOn w:val="6"/>
    <w:qFormat/>
    <w:uiPriority w:val="0"/>
    <w:rPr>
      <w:b/>
    </w:rPr>
  </w:style>
  <w:style w:type="character" w:customStyle="1" w:styleId="8">
    <w:name w:val="页眉 字符"/>
    <w:basedOn w:val="6"/>
    <w:link w:val="3"/>
    <w:uiPriority w:val="0"/>
    <w:rPr>
      <w:rFonts w:asciiTheme="minorHAnsi" w:hAnsiTheme="minorHAnsi" w:eastAsiaTheme="minorEastAsia" w:cstheme="minorBidi"/>
      <w:kern w:val="2"/>
      <w:sz w:val="18"/>
      <w:szCs w:val="18"/>
    </w:rPr>
  </w:style>
  <w:style w:type="character" w:customStyle="1" w:styleId="9">
    <w:name w:val="页脚 字符"/>
    <w:basedOn w:val="6"/>
    <w:link w:val="2"/>
    <w:uiPriority w:val="0"/>
    <w:rPr>
      <w:rFonts w:asciiTheme="minorHAnsi" w:hAnsiTheme="minorHAnsi" w:eastAsiaTheme="minorEastAsia" w:cstheme="minorBidi"/>
      <w:kern w:val="2"/>
      <w:sz w:val="18"/>
      <w:szCs w:val="18"/>
    </w:rPr>
  </w:style>
  <w:style w:type="paragraph" w:styleId="10">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1201</Words>
  <Characters>7678</Characters>
  <Lines>63</Lines>
  <Paragraphs>17</Paragraphs>
  <TotalTime>64</TotalTime>
  <ScaleCrop>false</ScaleCrop>
  <LinksUpToDate>false</LinksUpToDate>
  <CharactersWithSpaces>8843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2026-06-18T12:03:00Z</dcterms:created>
  <dc:creator>ζัジ谨色安年 </dc:creator>
  <cp:lastModifiedBy>ζัジ谨色安年 </cp:lastModifiedBy>
  <dcterms:modified xsi:type="dcterms:W3CDTF">2026-06-19T17:24:55Z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6EDB221F89C14B98B4B85CDB98E9261A_11</vt:lpwstr>
  </property>
  <property fmtid="{D5CDD505-2E9C-101B-9397-08002B2CF9AE}" pid="4" name="KSOTemplateDocerSaveRecord">
    <vt:lpwstr>eyJoZGlkIjoiNzUwYWVjNDM1OTAyNDQ2MTBjNDM1MWMxYmRhOGE3MTIiLCJ1c2VySWQiOiIzMTE4NzQwMzgifQ==</vt:lpwstr>
  </property>
</Properties>
</file>