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A1CA9">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highlight w:val="cyan"/>
        </w:rPr>
      </w:pPr>
      <w:bookmarkStart w:id="0" w:name="_GoBack"/>
      <w:r>
        <w:rPr>
          <w:rFonts w:ascii="Times New Roman" w:hAnsi="Times New Roman" w:cs="Times New Roman"/>
          <w:sz w:val="24"/>
          <w:szCs w:val="24"/>
          <w:highlight w:val="cyan"/>
        </w:rPr>
        <w:t xml:space="preserve">Search for </w:t>
      </w:r>
      <w:r>
        <w:rPr>
          <w:rFonts w:hint="eastAsia" w:ascii="Times New Roman" w:hAnsi="Times New Roman" w:cs="Times New Roman"/>
          <w:sz w:val="24"/>
          <w:szCs w:val="24"/>
          <w:highlight w:val="cyan"/>
          <w:lang w:val="en-US" w:eastAsia="zh-CN"/>
        </w:rPr>
        <w:t>Ligand</w:t>
      </w:r>
      <w:r>
        <w:rPr>
          <w:rFonts w:ascii="Times New Roman" w:hAnsi="Times New Roman" w:cs="Times New Roman"/>
          <w:sz w:val="24"/>
          <w:szCs w:val="24"/>
          <w:highlight w:val="cyan"/>
        </w:rPr>
        <w:t xml:space="preserve"> Information for Particular </w:t>
      </w:r>
      <w:r>
        <w:rPr>
          <w:rFonts w:hint="eastAsia" w:ascii="Times New Roman" w:hAnsi="Times New Roman" w:cs="Times New Roman"/>
          <w:sz w:val="24"/>
          <w:szCs w:val="24"/>
          <w:highlight w:val="cyan"/>
          <w:lang w:val="en-US" w:eastAsia="zh-CN"/>
        </w:rPr>
        <w:t>Ligand</w:t>
      </w:r>
      <w:r>
        <w:rPr>
          <w:rFonts w:ascii="Times New Roman" w:hAnsi="Times New Roman" w:cs="Times New Roman"/>
          <w:sz w:val="24"/>
          <w:szCs w:val="24"/>
          <w:highlight w:val="cyan"/>
        </w:rPr>
        <w:t xml:space="preserve"> Entity in RDCdb</w:t>
      </w:r>
    </w:p>
    <w:p w14:paraId="451A483A">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rPr>
      </w:pPr>
      <w:r>
        <w:rPr>
          <w:rFonts w:ascii="Times New Roman" w:hAnsi="Times New Roman" w:cs="Times New Roman"/>
          <w:sz w:val="24"/>
          <w:szCs w:val="24"/>
        </w:rPr>
        <w:t xml:space="preserve">In the </w:t>
      </w:r>
      <w:r>
        <w:rPr>
          <w:rFonts w:hint="eastAsia" w:ascii="Times New Roman" w:hAnsi="Times New Roman" w:cs="Times New Roman"/>
          <w:sz w:val="24"/>
          <w:szCs w:val="24"/>
          <w:lang w:eastAsia="zh-CN"/>
        </w:rPr>
        <w:t>"</w:t>
      </w:r>
      <w:r>
        <w:rPr>
          <w:rFonts w:ascii="Times New Roman" w:hAnsi="Times New Roman" w:cs="Times New Roman"/>
          <w:sz w:val="24"/>
          <w:szCs w:val="24"/>
        </w:rPr>
        <w:t>RDC Search</w:t>
      </w:r>
      <w:r>
        <w:rPr>
          <w:rFonts w:hint="eastAsia" w:ascii="Times New Roman" w:hAnsi="Times New Roman" w:cs="Times New Roman"/>
          <w:sz w:val="24"/>
          <w:szCs w:val="24"/>
          <w:lang w:eastAsia="zh-CN"/>
        </w:rPr>
        <w:t>"</w:t>
      </w:r>
      <w:r>
        <w:rPr>
          <w:rFonts w:ascii="Times New Roman" w:hAnsi="Times New Roman" w:cs="Times New Roman"/>
          <w:sz w:val="24"/>
          <w:szCs w:val="24"/>
        </w:rPr>
        <w:t xml:space="preserve"> section, users can search the full-text content of the RDCdb database to identify relevant RDC entries by entering keywords such as RDC drug names, target names, ligand names, linker names, radionuclide names, chelator names, and other related terms.</w:t>
      </w:r>
    </w:p>
    <w:p w14:paraId="1C51A1D4">
      <w:pPr>
        <w:keepNext w:val="0"/>
        <w:keepLines w:val="0"/>
        <w:pageBreakBefore w:val="0"/>
        <w:widowControl w:val="0"/>
        <w:kinsoku/>
        <w:overflowPunct/>
        <w:topLinePunct w:val="0"/>
        <w:autoSpaceDE/>
        <w:autoSpaceDN/>
        <w:bidi w:val="0"/>
        <w:adjustRightInd/>
        <w:snapToGrid/>
        <w:spacing w:line="240" w:lineRule="auto"/>
        <w:textAlignment w:val="auto"/>
        <w:rPr>
          <w:rFonts w:ascii="Times New Roman" w:hAnsi="Times New Roman" w:cs="Times New Roman"/>
          <w:sz w:val="24"/>
          <w:szCs w:val="24"/>
        </w:rPr>
      </w:pPr>
      <w:r>
        <w:rPr>
          <w:rFonts w:ascii="Times New Roman" w:hAnsi="Times New Roman" w:cs="Times New Roman"/>
          <w:sz w:val="24"/>
          <w:szCs w:val="24"/>
        </w:rPr>
        <w:t>To perform a search, users simply enter a keyword in the main search box and submit the query. The search results page will display comprehensive information on all RDC drugs directly associated with the search term, including the RDC name, drug development stage, drug type, ligand name, linker name, chelator name, radionuclide name, and detailed links to the corresponding target information.</w:t>
      </w:r>
    </w:p>
    <w:p w14:paraId="5BE25478">
      <w:pPr>
        <w:keepNext w:val="0"/>
        <w:keepLines w:val="0"/>
        <w:pageBreakBefore w:val="0"/>
        <w:widowControl w:val="0"/>
        <w:kinsoku/>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In order to facilitate a more customized input query, the wild characters of "?" are also supported.</w:t>
      </w:r>
    </w:p>
    <w:p w14:paraId="0BEA54B9">
      <w:pPr>
        <w:keepNext w:val="0"/>
        <w:keepLines w:val="0"/>
        <w:pageBreakBefore w:val="0"/>
        <w:widowControl w:val="0"/>
        <w:kinsoku/>
        <w:overflowPunct/>
        <w:topLinePunct w:val="0"/>
        <w:autoSpaceDE/>
        <w:autoSpaceDN/>
        <w:bidi w:val="0"/>
        <w:adjustRightInd/>
        <w:snapToGrid/>
        <w:spacing w:line="240" w:lineRule="auto"/>
        <w:textAlignment w:val="auto"/>
        <w:rPr>
          <w:rFonts w:hint="eastAsia"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(1) If search "FAPI-04", find a single API entry which is named "FAPI-04";</w:t>
      </w:r>
    </w:p>
    <w:p w14:paraId="6DFF0ADD">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highlight w:val="none"/>
          <w:lang w:val="en-US" w:eastAsia="zh-CN"/>
        </w:rPr>
      </w:pPr>
      <w:r>
        <w:rPr>
          <w:rFonts w:hint="eastAsia" w:ascii="Times New Roman" w:hAnsi="Times New Roman" w:cs="Times New Roman"/>
          <w:sz w:val="24"/>
          <w:szCs w:val="24"/>
          <w:highlight w:val="none"/>
          <w:lang w:val="en-US" w:eastAsia="zh-CN"/>
        </w:rPr>
        <w:t>(2)If search "FAPI", finds a series entries with Ligand names.</w:t>
      </w:r>
    </w:p>
    <w:p w14:paraId="75850AE1">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1770" cy="2573020"/>
            <wp:effectExtent l="0" t="0" r="1143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2573020"/>
                    </a:xfrm>
                    <a:prstGeom prst="rect">
                      <a:avLst/>
                    </a:prstGeom>
                    <a:noFill/>
                    <a:ln>
                      <a:noFill/>
                    </a:ln>
                  </pic:spPr>
                </pic:pic>
              </a:graphicData>
            </a:graphic>
          </wp:inline>
        </w:drawing>
      </w:r>
    </w:p>
    <w:p w14:paraId="69ABD469">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search results for </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FAPI-04</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display the Ligand ID, name, synonyms, structure chemical structure, mechanism of action, external links, and other relevant details.</w:t>
      </w:r>
    </w:p>
    <w:p w14:paraId="6B637EEF">
      <w:pPr>
        <w:keepNext w:val="0"/>
        <w:keepLines w:val="0"/>
        <w:pageBreakBefore w:val="0"/>
        <w:widowControl w:val="0"/>
        <w:kinsoku/>
        <w:overflowPunct/>
        <w:topLinePunct w:val="0"/>
        <w:autoSpaceDE/>
        <w:autoSpaceDN/>
        <w:bidi w:val="0"/>
        <w:adjustRightInd/>
        <w:snapToGrid/>
        <w:spacing w:line="240" w:lineRule="auto"/>
        <w:textAlignment w:val="auto"/>
        <w:rPr>
          <w:rFonts w:hint="eastAsia"/>
          <w:sz w:val="24"/>
          <w:szCs w:val="24"/>
          <w:lang w:val="en-US" w:eastAsia="zh-CN"/>
        </w:rPr>
      </w:pPr>
    </w:p>
    <w:p w14:paraId="203DEBA9">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7590790"/>
            <wp:effectExtent l="0" t="0" r="1079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2405" cy="7590790"/>
                    </a:xfrm>
                    <a:prstGeom prst="rect">
                      <a:avLst/>
                    </a:prstGeom>
                    <a:noFill/>
                    <a:ln>
                      <a:noFill/>
                    </a:ln>
                  </pic:spPr>
                </pic:pic>
              </a:graphicData>
            </a:graphic>
          </wp:inline>
        </w:drawing>
      </w:r>
    </w:p>
    <w:p w14:paraId="1D4E2B40">
      <w:pPr>
        <w:keepNext w:val="0"/>
        <w:keepLines w:val="0"/>
        <w:pageBreakBefore w:val="0"/>
        <w:widowControl w:val="0"/>
        <w:kinsoku/>
        <w:overflowPunct/>
        <w:topLinePunct w:val="0"/>
        <w:autoSpaceDE/>
        <w:autoSpaceDN/>
        <w:bidi w:val="0"/>
        <w:adjustRightInd/>
        <w:snapToGrid/>
        <w:spacing w:line="240" w:lineRule="auto"/>
        <w:ind w:firstLine="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Related RDCs</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section is about Each Radionuclide Conjugate Related to This Ligand, which displays the</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lang w:val="en-US" w:eastAsia="zh-CN"/>
        </w:rPr>
        <w:t xml:space="preserve"> associated with this </w:t>
      </w:r>
      <w:r>
        <w:rPr>
          <w:rFonts w:hint="eastAsia" w:ascii="Times New Roman" w:hAnsi="Times New Roman" w:cs="Times New Roman"/>
          <w:sz w:val="24"/>
          <w:szCs w:val="24"/>
          <w:lang w:val="en-US" w:eastAsia="zh-CN"/>
        </w:rPr>
        <w:t>Ligand</w:t>
      </w:r>
      <w:r>
        <w:rPr>
          <w:rFonts w:hint="default" w:ascii="Times New Roman" w:hAnsi="Times New Roman" w:cs="Times New Roman"/>
          <w:sz w:val="24"/>
          <w:szCs w:val="24"/>
          <w:lang w:val="en-US" w:eastAsia="zh-CN"/>
        </w:rPr>
        <w:t>. Clicking each button will redirect users to the corresponding detail page for that</w:t>
      </w:r>
      <w:r>
        <w:rPr>
          <w:rFonts w:hint="eastAsia" w:ascii="Times New Roman" w:hAnsi="Times New Roman" w:cs="Times New Roman"/>
          <w:sz w:val="24"/>
          <w:szCs w:val="24"/>
          <w:lang w:val="en-US" w:eastAsia="zh-CN"/>
        </w:rPr>
        <w:t xml:space="preserv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lang w:val="en-US" w:eastAsia="zh-CN"/>
        </w:rPr>
        <w:t>.</w:t>
      </w:r>
    </w:p>
    <w:p w14:paraId="5ADB117A">
      <w:pPr>
        <w:keepNext w:val="0"/>
        <w:keepLines w:val="0"/>
        <w:pageBreakBefore w:val="0"/>
        <w:widowControl w:val="0"/>
        <w:kinsoku/>
        <w:overflowPunct/>
        <w:topLinePunct w:val="0"/>
        <w:autoSpaceDE/>
        <w:autoSpaceDN/>
        <w:bidi w:val="0"/>
        <w:adjustRightInd/>
        <w:snapToGrid/>
        <w:spacing w:line="240" w:lineRule="auto"/>
        <w:ind w:firstLine="420" w:firstLineChars="0"/>
        <w:textAlignment w:val="auto"/>
        <w:rPr>
          <w:rFonts w:hint="eastAsia"/>
          <w:sz w:val="24"/>
          <w:szCs w:val="24"/>
          <w:lang w:val="en-US" w:eastAsia="zh-CN"/>
        </w:rPr>
      </w:pPr>
    </w:p>
    <w:p w14:paraId="48B10601">
      <w:pPr>
        <w:keepNext w:val="0"/>
        <w:keepLines w:val="0"/>
        <w:pageBreakBefore w:val="0"/>
        <w:widowControl w:val="0"/>
        <w:kinsoku/>
        <w:overflowPunct/>
        <w:topLinePunct w:val="0"/>
        <w:autoSpaceDE/>
        <w:autoSpaceDN/>
        <w:bidi w:val="0"/>
        <w:adjustRightInd/>
        <w:snapToGrid/>
        <w:spacing w:line="240" w:lineRule="auto"/>
        <w:ind w:firstLine="420" w:firstLineChars="0"/>
        <w:textAlignment w:val="auto"/>
        <w:rPr>
          <w:sz w:val="24"/>
          <w:szCs w:val="24"/>
        </w:rPr>
      </w:pPr>
      <w:r>
        <w:rPr>
          <w:sz w:val="24"/>
          <w:szCs w:val="24"/>
        </w:rPr>
        <w:drawing>
          <wp:inline distT="0" distB="0" distL="114300" distR="114300">
            <wp:extent cx="5272405" cy="3199765"/>
            <wp:effectExtent l="0" t="0" r="1079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3199765"/>
                    </a:xfrm>
                    <a:prstGeom prst="rect">
                      <a:avLst/>
                    </a:prstGeom>
                    <a:noFill/>
                    <a:ln>
                      <a:noFill/>
                    </a:ln>
                  </pic:spPr>
                </pic:pic>
              </a:graphicData>
            </a:graphic>
          </wp:inline>
        </w:drawing>
      </w:r>
    </w:p>
    <w:p w14:paraId="52E05F60">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"Complete List of RDCs Associated with This Ligand" section systematically displays the RDCs bound to this ligand. The list presents different types of RDCs along with their structural component information. Users can browse the different RDCs as a whole or click the RDC information to quickly navigate to the corresponding RDC activity page.</w:t>
      </w:r>
    </w:p>
    <w:p w14:paraId="24C44F28">
      <w:pPr>
        <w:keepNext w:val="0"/>
        <w:keepLines w:val="0"/>
        <w:pageBreakBefore w:val="0"/>
        <w:widowControl w:val="0"/>
        <w:kinsoku/>
        <w:overflowPunct/>
        <w:topLinePunct w:val="0"/>
        <w:autoSpaceDE/>
        <w:autoSpaceDN/>
        <w:bidi w:val="0"/>
        <w:adjustRightInd/>
        <w:snapToGrid/>
        <w:spacing w:line="240" w:lineRule="auto"/>
        <w:ind w:firstLine="420" w:firstLineChars="0"/>
        <w:textAlignment w:val="auto"/>
        <w:rPr>
          <w:sz w:val="24"/>
          <w:szCs w:val="24"/>
        </w:rPr>
      </w:pPr>
      <w:r>
        <w:rPr>
          <w:sz w:val="24"/>
          <w:szCs w:val="24"/>
        </w:rPr>
        <w:drawing>
          <wp:inline distT="0" distB="0" distL="114300" distR="114300">
            <wp:extent cx="5272405" cy="4443095"/>
            <wp:effectExtent l="0" t="0" r="1079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4443095"/>
                    </a:xfrm>
                    <a:prstGeom prst="rect">
                      <a:avLst/>
                    </a:prstGeom>
                    <a:noFill/>
                    <a:ln>
                      <a:noFill/>
                    </a:ln>
                  </pic:spPr>
                </pic:pic>
              </a:graphicData>
            </a:graphic>
          </wp:inline>
        </w:drawing>
      </w:r>
    </w:p>
    <w:p w14:paraId="57347DEE">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.1 By clicking the "RDC Info" button, the detailed information page for particular RDC will be displayed</w:t>
      </w:r>
    </w:p>
    <w:p w14:paraId="55C27B77">
      <w:pPr>
        <w:keepNext w:val="0"/>
        <w:keepLines w:val="0"/>
        <w:pageBreakBefore w:val="0"/>
        <w:widowControl w:val="0"/>
        <w:kinsoku/>
        <w:overflowPunct/>
        <w:topLinePunct w:val="0"/>
        <w:autoSpaceDE/>
        <w:autoSpaceDN/>
        <w:bidi w:val="0"/>
        <w:adjustRightInd/>
        <w:snapToGrid/>
        <w:spacing w:line="24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Using [177Lu]Lu-TE-FAPI-04 as an example, the "General Information of This RDC" section displays the </w:t>
      </w:r>
      <w:r>
        <w:rPr>
          <w:rFonts w:hint="eastAsia" w:ascii="Times New Roman" w:hAnsi="Times New Roman" w:cs="Times New Roman"/>
          <w:sz w:val="24"/>
          <w:szCs w:val="24"/>
          <w:lang w:val="en-US" w:eastAsia="zh-CN"/>
        </w:rPr>
        <w:t>General</w:t>
      </w:r>
      <w:r>
        <w:rPr>
          <w:rFonts w:hint="default" w:ascii="Times New Roman" w:hAnsi="Times New Roman" w:cs="Times New Roman"/>
          <w:sz w:val="24"/>
          <w:szCs w:val="24"/>
          <w:lang w:val="en-US" w:eastAsia="zh-CN"/>
        </w:rPr>
        <w:t xml:space="preserve"> information of [177Lu]Lu-TE-FAPI-04, including its ID, drug name, aliases, drug status, indications, chemical structure, mechanism of action, external links, and other relevant details. In addition, this section also presents </w:t>
      </w:r>
      <w:r>
        <w:rPr>
          <w:rFonts w:hint="eastAsia" w:ascii="Times New Roman" w:hAnsi="Times New Roman" w:cs="Times New Roman"/>
          <w:sz w:val="24"/>
          <w:szCs w:val="24"/>
          <w:lang w:val="en-US" w:eastAsia="zh-CN"/>
        </w:rPr>
        <w:t>General</w:t>
      </w:r>
      <w:r>
        <w:rPr>
          <w:rFonts w:hint="default" w:ascii="Times New Roman" w:hAnsi="Times New Roman" w:cs="Times New Roman"/>
          <w:sz w:val="24"/>
          <w:szCs w:val="24"/>
          <w:lang w:val="en-US" w:eastAsia="zh-CN"/>
        </w:rPr>
        <w:t xml:space="preserve"> information related to [177Lu]Lu-TE-FAPI-04, including the cold compound name, ligand name, linker name, chelator name, radionuclide name, and radiochemistry information.</w:t>
      </w:r>
    </w:p>
    <w:p w14:paraId="520C0587">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5580" cy="7717790"/>
            <wp:effectExtent l="0" t="0" r="762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5580" cy="7717790"/>
                    </a:xfrm>
                    <a:prstGeom prst="rect">
                      <a:avLst/>
                    </a:prstGeom>
                    <a:noFill/>
                    <a:ln>
                      <a:noFill/>
                    </a:ln>
                  </pic:spPr>
                </pic:pic>
              </a:graphicData>
            </a:graphic>
          </wp:inline>
        </w:drawing>
      </w:r>
    </w:p>
    <w:p w14:paraId="232D44A2">
      <w:pPr>
        <w:keepNext w:val="0"/>
        <w:keepLines w:val="0"/>
        <w:pageBreakBefore w:val="0"/>
        <w:widowControl w:val="0"/>
        <w:kinsoku/>
        <w:overflowPunct/>
        <w:topLinePunct w:val="0"/>
        <w:autoSpaceDE/>
        <w:autoSpaceDN/>
        <w:bidi w:val="0"/>
        <w:adjustRightInd/>
        <w:snapToGrid/>
        <w:spacing w:line="240" w:lineRule="auto"/>
        <w:jc w:val="both"/>
        <w:textAlignment w:val="auto"/>
        <w:rPr>
          <w:sz w:val="24"/>
          <w:szCs w:val="24"/>
        </w:rPr>
      </w:pPr>
    </w:p>
    <w:p w14:paraId="696F6F73">
      <w:pPr>
        <w:keepNext w:val="0"/>
        <w:keepLines w:val="0"/>
        <w:pageBreakBefore w:val="0"/>
        <w:widowControl w:val="0"/>
        <w:kinsoku/>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In the </w:t>
      </w:r>
      <w:r>
        <w:rPr>
          <w:rFonts w:hint="default" w:ascii="Times New Roman" w:hAnsi="Times New Roman" w:cs="Times New Roman"/>
          <w:sz w:val="24"/>
          <w:szCs w:val="24"/>
          <w:lang w:eastAsia="zh-CN"/>
        </w:rPr>
        <w:t>"</w:t>
      </w:r>
      <w:r>
        <w:rPr>
          <w:rFonts w:hint="default" w:ascii="Times New Roman" w:hAnsi="Times New Roman" w:cs="Times New Roman"/>
          <w:sz w:val="24"/>
          <w:szCs w:val="24"/>
        </w:rPr>
        <w:t>Full List of Activity Data of This RDC</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section, three types of activity data are provided: in vitro activity data, in vivo animal data, and human activity data.</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Under the </w:t>
      </w:r>
      <w:r>
        <w:rPr>
          <w:rFonts w:hint="default" w:ascii="Times New Roman" w:hAnsi="Times New Roman" w:cs="Times New Roman"/>
          <w:sz w:val="24"/>
          <w:szCs w:val="24"/>
          <w:lang w:val="en-US" w:eastAsia="zh-CN"/>
        </w:rPr>
        <w:t>each</w:t>
      </w:r>
      <w:r>
        <w:rPr>
          <w:rFonts w:hint="default" w:ascii="Times New Roman" w:hAnsi="Times New Roman" w:cs="Times New Roman"/>
          <w:sz w:val="24"/>
          <w:szCs w:val="24"/>
        </w:rPr>
        <w:t xml:space="preserve"> subsection, users can view information</w:t>
      </w:r>
      <w:r>
        <w:rPr>
          <w:rFonts w:hint="default" w:ascii="Times New Roman" w:hAnsi="Times New Roman" w:cs="Times New Roman"/>
          <w:sz w:val="24"/>
          <w:szCs w:val="24"/>
          <w:lang w:val="en-US" w:eastAsia="zh-CN"/>
        </w:rPr>
        <w:t>.</w:t>
      </w:r>
    </w:p>
    <w:p w14:paraId="54F3E15D">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1544955"/>
            <wp:effectExtent l="0" t="0" r="1079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1544955"/>
                    </a:xfrm>
                    <a:prstGeom prst="rect">
                      <a:avLst/>
                    </a:prstGeom>
                    <a:noFill/>
                    <a:ln>
                      <a:noFill/>
                    </a:ln>
                  </pic:spPr>
                </pic:pic>
              </a:graphicData>
            </a:graphic>
          </wp:inline>
        </w:drawing>
      </w:r>
    </w:p>
    <w:p w14:paraId="19DF1B8A">
      <w:pPr>
        <w:keepNext w:val="0"/>
        <w:keepLines w:val="0"/>
        <w:pageBreakBefore w:val="0"/>
        <w:widowControl w:val="0"/>
        <w:kinsoku/>
        <w:overflowPunct/>
        <w:topLinePunct w:val="0"/>
        <w:autoSpaceDE/>
        <w:autoSpaceDN/>
        <w:bidi w:val="0"/>
        <w:adjustRightInd/>
        <w:snapToGrid/>
        <w:spacing w:line="240" w:lineRule="auto"/>
        <w:textAlignment w:val="auto"/>
        <w:rPr>
          <w:rFonts w:hint="default"/>
          <w:sz w:val="24"/>
          <w:szCs w:val="24"/>
          <w:lang w:val="en-US" w:eastAsia="zh-CN"/>
        </w:rPr>
      </w:pPr>
    </w:p>
    <w:p w14:paraId="7368EAD4">
      <w:pPr>
        <w:keepNext w:val="0"/>
        <w:keepLines w:val="0"/>
        <w:pageBreakBefore w:val="0"/>
        <w:widowControl w:val="0"/>
        <w:numPr>
          <w:numId w:val="0"/>
        </w:numPr>
        <w:kinsoku/>
        <w:wordWrap w:val="0"/>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3</w:t>
      </w:r>
      <w:r>
        <w:rPr>
          <w:rFonts w:hint="default" w:ascii="Times New Roman" w:hAnsi="Times New Roman" w:eastAsia="宋体" w:cs="Times New Roman"/>
          <w:b/>
          <w:bCs/>
          <w:color w:val="333333"/>
          <w:sz w:val="24"/>
          <w:szCs w:val="24"/>
          <w:shd w:val="clear" w:color="auto" w:fill="FFFFFF"/>
          <w:lang w:val="en-US" w:eastAsia="zh-CN"/>
        </w:rPr>
        <w:t xml:space="preserve">.2 </w:t>
      </w:r>
      <w:r>
        <w:rPr>
          <w:rFonts w:hint="default" w:ascii="Times New Roman" w:hAnsi="Times New Roman" w:eastAsia="Helvetica" w:cs="Times New Roman"/>
          <w:b/>
          <w:bCs/>
          <w:color w:val="333333"/>
          <w:sz w:val="24"/>
          <w:szCs w:val="24"/>
          <w:shd w:val="clear" w:color="auto" w:fill="FFFFFF"/>
        </w:rPr>
        <w:t xml:space="preserve">By clicking the </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cold_compound Info</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 xml:space="preserve"> button, the detailed information page will be displayed</w:t>
      </w:r>
      <w:r>
        <w:rPr>
          <w:rFonts w:hint="default" w:ascii="Times New Roman" w:hAnsi="Times New Roman" w:eastAsia="宋体" w:cs="Times New Roman"/>
          <w:b/>
          <w:bCs/>
          <w:color w:val="333333"/>
          <w:sz w:val="24"/>
          <w:szCs w:val="24"/>
          <w:shd w:val="clear" w:color="auto" w:fill="FFFFFF"/>
        </w:rPr>
        <w:t>.</w:t>
      </w:r>
    </w:p>
    <w:p w14:paraId="432D3C3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sz w:val="24"/>
          <w:szCs w:val="24"/>
        </w:rPr>
      </w:pPr>
      <w:r>
        <w:rPr>
          <w:rFonts w:hint="default" w:ascii="Times New Roman" w:hAnsi="Times New Roman" w:cs="Times New Roman"/>
          <w:sz w:val="24"/>
          <w:szCs w:val="24"/>
        </w:rPr>
        <w:t xml:space="preserve">Using </w:t>
      </w:r>
      <w:r>
        <w:rPr>
          <w:rFonts w:hint="default" w:ascii="Times New Roman" w:hAnsi="Times New Roman" w:cs="Times New Roman"/>
          <w:sz w:val="24"/>
          <w:szCs w:val="24"/>
          <w:lang w:val="en-US" w:eastAsia="zh-CN"/>
        </w:rPr>
        <w:t>FAPI-04</w:t>
      </w:r>
      <w:r>
        <w:rPr>
          <w:rFonts w:hint="default" w:ascii="Times New Roman" w:hAnsi="Times New Roman" w:cs="Times New Roman"/>
          <w:sz w:val="24"/>
          <w:szCs w:val="24"/>
        </w:rPr>
        <w:t xml:space="preserve"> as an example, the </w:t>
      </w:r>
      <w:r>
        <w:rPr>
          <w:rFonts w:hint="default" w:ascii="Times New Roman" w:hAnsi="Times New Roman" w:cs="Times New Roman"/>
          <w:sz w:val="24"/>
          <w:szCs w:val="24"/>
          <w:lang w:eastAsia="zh-CN"/>
        </w:rPr>
        <w:t>"</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Cold Compound Information</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cold compound, including its name, aliases, chemical structure information such as SMILES and formula, physicochemical properties, and external links.</w:t>
      </w:r>
    </w:p>
    <w:p w14:paraId="5AF7CEE8">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1770" cy="8524875"/>
            <wp:effectExtent l="0" t="0" r="1143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770" cy="8524875"/>
                    </a:xfrm>
                    <a:prstGeom prst="rect">
                      <a:avLst/>
                    </a:prstGeom>
                    <a:noFill/>
                    <a:ln>
                      <a:noFill/>
                    </a:ln>
                  </pic:spPr>
                </pic:pic>
              </a:graphicData>
            </a:graphic>
          </wp:inline>
        </w:drawing>
      </w:r>
    </w:p>
    <w:p w14:paraId="3CCBF2F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"Full Information of The Activity Data of The RDC(s) Related to This cold_compound" section systematically displays various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lang w:val="en-US" w:eastAsia="zh-CN"/>
        </w:rPr>
        <w:t xml:space="preserve"> associated with this cold compound. The list presents differen t</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lang w:val="en-US" w:eastAsia="zh-CN"/>
        </w:rPr>
        <w:t xml:space="preserve"> and their respective development stages. Users can view an overview of activity data at different levels for each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lang w:val="en-US" w:eastAsia="zh-CN"/>
        </w:rPr>
        <w:t xml:space="preserve">, or click the RDC information to quickly navigate to the corresponding activity detail page for that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lang w:val="en-US" w:eastAsia="zh-CN"/>
        </w:rPr>
        <w:t>.</w:t>
      </w:r>
    </w:p>
    <w:p w14:paraId="364E3526">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4159885"/>
            <wp:effectExtent l="0" t="0" r="1079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4159885"/>
                    </a:xfrm>
                    <a:prstGeom prst="rect">
                      <a:avLst/>
                    </a:prstGeom>
                    <a:noFill/>
                    <a:ln>
                      <a:noFill/>
                    </a:ln>
                  </pic:spPr>
                </pic:pic>
              </a:graphicData>
            </a:graphic>
          </wp:inline>
        </w:drawing>
      </w:r>
    </w:p>
    <w:p w14:paraId="0B4D83E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Related RDCs</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section</w:t>
      </w:r>
      <w:r>
        <w:rPr>
          <w:rFonts w:hint="default" w:ascii="Times New Roman" w:hAnsi="Times New Roman" w:cs="Times New Roman"/>
          <w:sz w:val="24"/>
          <w:szCs w:val="24"/>
          <w:lang w:val="en-US" w:eastAsia="zh-CN"/>
        </w:rPr>
        <w:t xml:space="preserve"> is about </w:t>
      </w:r>
      <w:r>
        <w:rPr>
          <w:rFonts w:hint="default" w:ascii="Times New Roman" w:hAnsi="Times New Roman" w:cs="Times New Roman"/>
          <w:sz w:val="24"/>
          <w:szCs w:val="24"/>
        </w:rPr>
        <w:t>Each Radionuclide Conjugate Related to This cold compound</w:t>
      </w:r>
      <w:r>
        <w:rPr>
          <w:rFonts w:hint="default" w:ascii="Times New Roman" w:hAnsi="Times New Roman" w:cs="Times New Roman"/>
          <w:sz w:val="24"/>
          <w:szCs w:val="24"/>
          <w:lang w:val="en-US" w:eastAsia="zh-CN"/>
        </w:rPr>
        <w:t xml:space="preserve">, which </w:t>
      </w:r>
      <w:r>
        <w:rPr>
          <w:rFonts w:hint="default" w:ascii="Times New Roman" w:hAnsi="Times New Roman" w:cs="Times New Roman"/>
          <w:sz w:val="24"/>
          <w:szCs w:val="24"/>
        </w:rPr>
        <w:t xml:space="preserve"> displays the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rPr>
        <w:t xml:space="preserve"> associated with this cold compound. Clicking each button will redirect users to the corresponding detail page for that </w:t>
      </w:r>
      <w:r>
        <w:rPr>
          <w:rFonts w:hint="default" w:ascii="Times New Roman" w:hAnsi="Times New Roman" w:eastAsia="宋体" w:cs="Times New Roman"/>
          <w:color w:val="333333"/>
          <w:sz w:val="24"/>
          <w:szCs w:val="24"/>
          <w:shd w:val="clear" w:color="auto" w:fill="FFFFFF"/>
        </w:rPr>
        <w:t xml:space="preserve">radionuclide </w:t>
      </w:r>
      <w:r>
        <w:rPr>
          <w:rFonts w:hint="default" w:ascii="Times New Roman" w:hAnsi="Times New Roman" w:eastAsia="宋体" w:cs="Times New Roman"/>
          <w:color w:val="333333"/>
          <w:sz w:val="24"/>
          <w:szCs w:val="24"/>
          <w:shd w:val="clear" w:color="auto" w:fill="FFFFFF"/>
          <w:lang w:val="en-US" w:eastAsia="zh-CN"/>
        </w:rPr>
        <w:t xml:space="preserve">drug </w:t>
      </w:r>
      <w:r>
        <w:rPr>
          <w:rFonts w:hint="default" w:ascii="Times New Roman" w:hAnsi="Times New Roman" w:eastAsia="宋体" w:cs="Times New Roman"/>
          <w:color w:val="333333"/>
          <w:sz w:val="24"/>
          <w:szCs w:val="24"/>
          <w:shd w:val="clear" w:color="auto" w:fill="FFFFFF"/>
        </w:rPr>
        <w:t>conjugate</w:t>
      </w:r>
      <w:r>
        <w:rPr>
          <w:rFonts w:hint="default"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rPr>
        <w:t>.</w:t>
      </w:r>
    </w:p>
    <w:p w14:paraId="74B98D2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sz w:val="24"/>
          <w:szCs w:val="24"/>
        </w:rPr>
      </w:pPr>
      <w:r>
        <w:rPr>
          <w:sz w:val="24"/>
          <w:szCs w:val="24"/>
        </w:rPr>
        <w:drawing>
          <wp:inline distT="0" distB="0" distL="114300" distR="114300">
            <wp:extent cx="5272405" cy="3201670"/>
            <wp:effectExtent l="0" t="0" r="1079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rcRect b="1408"/>
                    <a:stretch>
                      <a:fillRect/>
                    </a:stretch>
                  </pic:blipFill>
                  <pic:spPr>
                    <a:xfrm>
                      <a:off x="0" y="0"/>
                      <a:ext cx="5272405" cy="3201670"/>
                    </a:xfrm>
                    <a:prstGeom prst="rect">
                      <a:avLst/>
                    </a:prstGeom>
                    <a:noFill/>
                    <a:ln>
                      <a:noFill/>
                    </a:ln>
                  </pic:spPr>
                </pic:pic>
              </a:graphicData>
            </a:graphic>
          </wp:inline>
        </w:drawing>
      </w:r>
    </w:p>
    <w:p w14:paraId="4F97ABC7">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3</w:t>
      </w:r>
      <w:r>
        <w:rPr>
          <w:rFonts w:hint="default" w:ascii="Times New Roman" w:hAnsi="Times New Roman" w:eastAsia="宋体" w:cs="Times New Roman"/>
          <w:b/>
          <w:bCs/>
          <w:color w:val="333333"/>
          <w:sz w:val="24"/>
          <w:szCs w:val="24"/>
          <w:shd w:val="clear" w:color="auto" w:fill="FFFFFF"/>
          <w:lang w:val="en-US" w:eastAsia="zh-CN"/>
        </w:rPr>
        <w:t xml:space="preserve">.3 </w:t>
      </w:r>
      <w:r>
        <w:rPr>
          <w:rFonts w:hint="default" w:ascii="Times New Roman" w:hAnsi="Times New Roman" w:eastAsia="Helvetica" w:cs="Times New Roman"/>
          <w:b/>
          <w:bCs/>
          <w:color w:val="333333"/>
          <w:sz w:val="24"/>
          <w:szCs w:val="24"/>
          <w:shd w:val="clear" w:color="auto" w:fill="FFFFFF"/>
        </w:rPr>
        <w:t xml:space="preserve">By clicking the </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宋体" w:cs="Times New Roman"/>
          <w:b/>
          <w:bCs/>
          <w:color w:val="333333"/>
          <w:sz w:val="24"/>
          <w:szCs w:val="24"/>
          <w:shd w:val="clear" w:color="auto" w:fill="FFFFFF"/>
          <w:lang w:val="en-US" w:eastAsia="zh-CN"/>
        </w:rPr>
        <w:t>Ligand</w:t>
      </w:r>
      <w:r>
        <w:rPr>
          <w:rFonts w:hint="default" w:ascii="Times New Roman" w:hAnsi="Times New Roman" w:eastAsia="Helvetica" w:cs="Times New Roman"/>
          <w:b/>
          <w:bCs/>
          <w:color w:val="333333"/>
          <w:sz w:val="24"/>
          <w:szCs w:val="24"/>
          <w:shd w:val="clear" w:color="auto" w:fill="FFFFFF"/>
        </w:rPr>
        <w:t xml:space="preserve"> Info</w:t>
      </w:r>
      <w:r>
        <w:rPr>
          <w:rFonts w:hint="default" w:ascii="Times New Roman" w:hAnsi="Times New Roman" w:eastAsia="宋体" w:cs="Times New Roman"/>
          <w:b/>
          <w:bCs/>
          <w:color w:val="333333"/>
          <w:sz w:val="24"/>
          <w:szCs w:val="24"/>
          <w:shd w:val="clear" w:color="auto" w:fill="FFFFFF"/>
          <w:lang w:eastAsia="zh-CN"/>
        </w:rPr>
        <w:t>"</w:t>
      </w:r>
      <w:r>
        <w:rPr>
          <w:rFonts w:hint="default" w:ascii="Times New Roman" w:hAnsi="Times New Roman" w:eastAsia="Helvetica" w:cs="Times New Roman"/>
          <w:b/>
          <w:bCs/>
          <w:color w:val="333333"/>
          <w:sz w:val="24"/>
          <w:szCs w:val="24"/>
          <w:shd w:val="clear" w:color="auto" w:fill="FFFFFF"/>
        </w:rPr>
        <w:t xml:space="preserve"> button, the detailed information page will be displayed</w:t>
      </w:r>
      <w:r>
        <w:rPr>
          <w:rFonts w:hint="default" w:ascii="Times New Roman" w:hAnsi="Times New Roman" w:eastAsia="宋体" w:cs="Times New Roman"/>
          <w:b/>
          <w:bCs/>
          <w:color w:val="333333"/>
          <w:sz w:val="24"/>
          <w:szCs w:val="24"/>
          <w:shd w:val="clear" w:color="auto" w:fill="FFFFFF"/>
        </w:rPr>
        <w:t>.</w:t>
      </w:r>
    </w:p>
    <w:p w14:paraId="3C47B29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cs="Times New Roman"/>
          <w:sz w:val="24"/>
          <w:szCs w:val="24"/>
        </w:rPr>
      </w:pPr>
      <w:r>
        <w:rPr>
          <w:rFonts w:hint="default" w:ascii="Times New Roman" w:hAnsi="Times New Roman" w:cs="Times New Roman"/>
          <w:sz w:val="24"/>
          <w:szCs w:val="24"/>
        </w:rPr>
        <w:t>Using FAP</w:t>
      </w:r>
      <w:r>
        <w:rPr>
          <w:rFonts w:hint="default" w:ascii="Times New Roman" w:hAnsi="Times New Roman" w:cs="Times New Roman"/>
          <w:sz w:val="24"/>
          <w:szCs w:val="24"/>
          <w:lang w:val="en-US" w:eastAsia="zh-CN"/>
        </w:rPr>
        <w:t>I-04</w:t>
      </w:r>
      <w:r>
        <w:rPr>
          <w:rFonts w:hint="default" w:ascii="Times New Roman" w:hAnsi="Times New Roman" w:cs="Times New Roman"/>
          <w:sz w:val="24"/>
          <w:szCs w:val="24"/>
        </w:rPr>
        <w:t xml:space="preserve"> as an example, the </w:t>
      </w:r>
      <w:r>
        <w:rPr>
          <w:rFonts w:hint="default" w:ascii="Times New Roman" w:hAnsi="Times New Roman" w:cs="Times New Roman"/>
          <w:sz w:val="24"/>
          <w:szCs w:val="24"/>
          <w:lang w:eastAsia="zh-CN"/>
        </w:rPr>
        <w:t>"</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Ligand Information</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ligand, including the ligand ID, name, synonyms, external links, chemical structure, molecular formula, SMILES notation, formula, InChI, InChIKey, IUPAC name, physicochemical properties, and ligand type. It should be noted that the physicochemical properties are calculated using the RDKit tool.</w:t>
      </w:r>
    </w:p>
    <w:p w14:paraId="2425630B">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textAlignment w:val="auto"/>
        <w:rPr>
          <w:sz w:val="24"/>
          <w:szCs w:val="24"/>
        </w:rPr>
      </w:pPr>
      <w:r>
        <w:rPr>
          <w:sz w:val="24"/>
          <w:szCs w:val="24"/>
        </w:rPr>
        <w:drawing>
          <wp:inline distT="0" distB="0" distL="114300" distR="114300">
            <wp:extent cx="5270500" cy="7424420"/>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0500" cy="7424420"/>
                    </a:xfrm>
                    <a:prstGeom prst="rect">
                      <a:avLst/>
                    </a:prstGeom>
                    <a:noFill/>
                    <a:ln>
                      <a:noFill/>
                    </a:ln>
                  </pic:spPr>
                </pic:pic>
              </a:graphicData>
            </a:graphic>
          </wp:inline>
        </w:drawing>
      </w:r>
    </w:p>
    <w:p w14:paraId="4AFFCF52">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w:t>
      </w:r>
      <w:r>
        <w:rPr>
          <w:rFonts w:hint="eastAsia" w:ascii="Times New Roman" w:hAnsi="Times New Roman" w:eastAsia="宋体" w:cs="Times New Roman"/>
          <w:color w:val="333333"/>
          <w:sz w:val="24"/>
          <w:szCs w:val="24"/>
          <w:shd w:val="clear" w:color="auto" w:fill="FFFFFF"/>
          <w:lang w:val="en-US" w:eastAsia="zh-CN"/>
        </w:rPr>
        <w:t xml:space="preserve"> is about </w:t>
      </w:r>
      <w:r>
        <w:rPr>
          <w:rFonts w:ascii="Times New Roman" w:hAnsi="Times New Roman" w:eastAsia="宋体" w:cs="Times New Roman"/>
          <w:color w:val="333333"/>
          <w:sz w:val="24"/>
          <w:szCs w:val="24"/>
          <w:shd w:val="clear" w:color="auto" w:fill="FFFFFF"/>
        </w:rPr>
        <w:t>Each Radionuclide Conjugate Related to This ligand</w:t>
      </w:r>
      <w:r>
        <w:rPr>
          <w:rFonts w:hint="eastAsia" w:ascii="Times New Roman" w:hAnsi="Times New Roman" w:eastAsia="宋体" w:cs="Times New Roman"/>
          <w:color w:val="333333"/>
          <w:sz w:val="24"/>
          <w:szCs w:val="24"/>
          <w:shd w:val="clear" w:color="auto" w:fill="FFFFFF"/>
          <w:lang w:val="en-US" w:eastAsia="zh-CN"/>
        </w:rPr>
        <w:t>, which</w:t>
      </w:r>
      <w:r>
        <w:rPr>
          <w:rFonts w:ascii="Times New Roman" w:hAnsi="Times New Roman" w:eastAsia="宋体" w:cs="Times New Roman"/>
          <w:color w:val="333333"/>
          <w:sz w:val="24"/>
          <w:szCs w:val="24"/>
          <w:shd w:val="clear" w:color="auto" w:fill="FFFFFF"/>
        </w:rPr>
        <w:t xml:space="preserve"> 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lang w:val="en-US" w:eastAsia="zh-CN"/>
        </w:rPr>
        <w:t xml:space="preserve"> </w:t>
      </w:r>
      <w:r>
        <w:rPr>
          <w:rFonts w:ascii="Times New Roman" w:hAnsi="Times New Roman" w:eastAsia="宋体" w:cs="Times New Roman"/>
          <w:color w:val="333333"/>
          <w:sz w:val="24"/>
          <w:szCs w:val="24"/>
          <w:shd w:val="clear" w:color="auto" w:fill="FFFFFF"/>
        </w:rPr>
        <w:t xml:space="preserve">ligand.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6534F7EB">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ind w:leftChars="0"/>
        <w:textAlignment w:val="auto"/>
        <w:rPr>
          <w:rFonts w:hint="eastAsia"/>
          <w:sz w:val="24"/>
          <w:szCs w:val="24"/>
        </w:rPr>
      </w:pPr>
    </w:p>
    <w:p w14:paraId="3B400E5E">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3213100"/>
            <wp:effectExtent l="0" t="0" r="1079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2405" cy="3213100"/>
                    </a:xfrm>
                    <a:prstGeom prst="rect">
                      <a:avLst/>
                    </a:prstGeom>
                    <a:noFill/>
                    <a:ln>
                      <a:noFill/>
                    </a:ln>
                  </pic:spPr>
                </pic:pic>
              </a:graphicData>
            </a:graphic>
          </wp:inline>
        </w:drawing>
      </w:r>
    </w:p>
    <w:p w14:paraId="071F20D5">
      <w:pPr>
        <w:keepNext w:val="0"/>
        <w:keepLines w:val="0"/>
        <w:pageBreakBefore w:val="0"/>
        <w:widowControl w:val="0"/>
        <w:numPr>
          <w:ilvl w:val="0"/>
          <w:numId w:val="0"/>
        </w:numPr>
        <w:kinsoku/>
        <w:overflowPunct/>
        <w:topLinePunct w:val="0"/>
        <w:autoSpaceDE/>
        <w:autoSpaceDN/>
        <w:bidi w:val="0"/>
        <w:adjustRightInd/>
        <w:snapToGrid/>
        <w:spacing w:line="240" w:lineRule="auto"/>
        <w:jc w:val="both"/>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Complete List of RDCs Associated with This Ligand</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systematically displays the RDCs bound to this ligand. The list presents different types of RDCs along with their structural component information. Users can browse the different RDCs as a whole or click the RDC information to quickly navigate to the corresponding RDC activity page.</w:t>
      </w:r>
    </w:p>
    <w:p w14:paraId="1F4D6B7E">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0CEA5EBB">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3FBAA8FC">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4291965"/>
            <wp:effectExtent l="0" t="0" r="1079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2405" cy="4291965"/>
                    </a:xfrm>
                    <a:prstGeom prst="rect">
                      <a:avLst/>
                    </a:prstGeom>
                    <a:noFill/>
                    <a:ln>
                      <a:noFill/>
                    </a:ln>
                  </pic:spPr>
                </pic:pic>
              </a:graphicData>
            </a:graphic>
          </wp:inline>
        </w:drawing>
      </w:r>
    </w:p>
    <w:p w14:paraId="65A7DC6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.4 By clicking the </w:t>
      </w: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Linker Info</w:t>
      </w:r>
      <w:r>
        <w:rPr>
          <w:rFonts w:hint="default" w:ascii="Times New Roman" w:hAnsi="Times New Roman" w:cs="Times New Roman"/>
          <w:b/>
          <w:bCs/>
          <w:sz w:val="24"/>
          <w:szCs w:val="24"/>
          <w:lang w:eastAsia="zh-CN"/>
        </w:rPr>
        <w:t>"</w:t>
      </w:r>
      <w:r>
        <w:rPr>
          <w:rFonts w:hint="default" w:ascii="Times New Roman" w:hAnsi="Times New Roman" w:cs="Times New Roman"/>
          <w:b/>
          <w:bCs/>
          <w:sz w:val="24"/>
          <w:szCs w:val="24"/>
        </w:rPr>
        <w:t xml:space="preserve"> button, the detailed linker information page for will be displayed.</w:t>
      </w:r>
    </w:p>
    <w:p w14:paraId="0890A67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Using</w:t>
      </w:r>
      <w:r>
        <w:rPr>
          <w:rFonts w:hint="default" w:ascii="Times New Roman" w:hAnsi="Times New Roman" w:cs="Times New Roman"/>
          <w:sz w:val="24"/>
          <w:szCs w:val="24"/>
          <w:lang w:val="en-US" w:eastAsia="zh-CN"/>
        </w:rPr>
        <w:t xml:space="preserve"> LIN00247 </w:t>
      </w:r>
      <w:r>
        <w:rPr>
          <w:rFonts w:hint="default" w:ascii="Times New Roman" w:hAnsi="Times New Roman" w:cs="Times New Roman"/>
          <w:sz w:val="24"/>
          <w:szCs w:val="24"/>
        </w:rPr>
        <w:t xml:space="preserve">as an example, the </w:t>
      </w:r>
      <w:r>
        <w:rPr>
          <w:rFonts w:hint="default" w:ascii="Times New Roman" w:hAnsi="Times New Roman" w:cs="Times New Roman"/>
          <w:sz w:val="24"/>
          <w:szCs w:val="24"/>
          <w:lang w:eastAsia="zh-CN"/>
        </w:rPr>
        <w:t>"</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Ligand Information</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section displays the </w:t>
      </w:r>
      <w:r>
        <w:rPr>
          <w:rFonts w:hint="eastAsia" w:ascii="Times New Roman" w:hAnsi="Times New Roman" w:cs="Times New Roman"/>
          <w:sz w:val="24"/>
          <w:szCs w:val="24"/>
          <w:lang w:eastAsia="zh-CN"/>
        </w:rPr>
        <w:t>General</w:t>
      </w:r>
      <w:r>
        <w:rPr>
          <w:rFonts w:hint="default" w:ascii="Times New Roman" w:hAnsi="Times New Roman" w:cs="Times New Roman"/>
          <w:sz w:val="24"/>
          <w:szCs w:val="24"/>
        </w:rPr>
        <w:t xml:space="preserve"> information of the ligand, including the ligand ID, name, synonyms, external links, chemical structure, molecular formula, SMILES notation, formula, InChI identifier, InChIKey, IUPAC name, physicochemical properties, and ligand type. It should be noted that the physicochemical properties are calculated using the RDKit tool.</w:t>
      </w:r>
    </w:p>
    <w:p w14:paraId="045C78AB">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70782A5F">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7018020"/>
            <wp:effectExtent l="0" t="0" r="1079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2405" cy="7018020"/>
                    </a:xfrm>
                    <a:prstGeom prst="rect">
                      <a:avLst/>
                    </a:prstGeom>
                    <a:noFill/>
                    <a:ln>
                      <a:noFill/>
                    </a:ln>
                  </pic:spPr>
                </pic:pic>
              </a:graphicData>
            </a:graphic>
          </wp:inline>
        </w:drawing>
      </w:r>
    </w:p>
    <w:p w14:paraId="0F9AD6D8">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p>
    <w:p w14:paraId="51A8773E">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Full Information of the Activity Data of the RDC(s) Related to This Linker</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systematically displays various radionuclide conjugates (RDCs) associated with this linker. The list presents different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and their respective development stages. Users can view an overview of activity data at different levels for each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 xml:space="preserve">, or click the RDC information to quickly navigate to the corresponding activity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4FCD5161">
      <w:pPr>
        <w:keepNext w:val="0"/>
        <w:keepLines w:val="0"/>
        <w:pageBreakBefore w:val="0"/>
        <w:widowControl w:val="0"/>
        <w:kinsoku/>
        <w:wordWrap/>
        <w:overflowPunct/>
        <w:topLinePunct w:val="0"/>
        <w:autoSpaceDE/>
        <w:autoSpaceDN/>
        <w:bidi w:val="0"/>
        <w:adjustRightInd/>
        <w:snapToGrid/>
        <w:spacing w:line="240" w:lineRule="auto"/>
        <w:jc w:val="both"/>
        <w:textAlignment w:val="auto"/>
        <w:rPr>
          <w:sz w:val="24"/>
          <w:szCs w:val="24"/>
        </w:rPr>
      </w:pPr>
      <w:r>
        <w:rPr>
          <w:sz w:val="24"/>
          <w:szCs w:val="24"/>
        </w:rPr>
        <w:drawing>
          <wp:inline distT="0" distB="0" distL="114300" distR="114300">
            <wp:extent cx="5272405" cy="3155950"/>
            <wp:effectExtent l="0" t="0" r="1079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2405" cy="3155950"/>
                    </a:xfrm>
                    <a:prstGeom prst="rect">
                      <a:avLst/>
                    </a:prstGeom>
                    <a:noFill/>
                    <a:ln>
                      <a:noFill/>
                    </a:ln>
                  </pic:spPr>
                </pic:pic>
              </a:graphicData>
            </a:graphic>
          </wp:inline>
        </w:drawing>
      </w:r>
    </w:p>
    <w:p w14:paraId="26394C12">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hint="default"/>
          <w:sz w:val="24"/>
          <w:szCs w:val="24"/>
          <w:lang w:val="en-US" w:eastAsia="zh-CN"/>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Drug Associated with This Linker</w:t>
      </w:r>
      <w:r>
        <w:rPr>
          <w:rFonts w:hint="eastAsia" w:ascii="Times New Roman" w:hAnsi="Times New Roman" w:eastAsia="宋体" w:cs="Times New Roman"/>
          <w:color w:val="333333"/>
          <w:sz w:val="24"/>
          <w:szCs w:val="24"/>
          <w:shd w:val="clear" w:color="auto" w:fill="FFFFFF"/>
          <w:lang w:val="en-US" w:eastAsia="zh-CN"/>
        </w:rPr>
        <w:t xml:space="preserve">, which </w:t>
      </w:r>
      <w:r>
        <w:rPr>
          <w:rFonts w:ascii="Times New Roman" w:hAnsi="Times New Roman" w:eastAsia="宋体" w:cs="Times New Roman"/>
          <w:color w:val="333333"/>
          <w:sz w:val="24"/>
          <w:szCs w:val="24"/>
          <w:shd w:val="clear" w:color="auto" w:fill="FFFFFF"/>
        </w:rPr>
        <w:t xml:space="preserve">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paired with this linker. Users can click each button to navigate to the corresponding activity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5A9F900B">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2405" cy="31711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rcRect b="1089"/>
                    <a:stretch>
                      <a:fillRect/>
                    </a:stretch>
                  </pic:blipFill>
                  <pic:spPr>
                    <a:xfrm>
                      <a:off x="0" y="0"/>
                      <a:ext cx="5272405" cy="3171190"/>
                    </a:xfrm>
                    <a:prstGeom prst="rect">
                      <a:avLst/>
                    </a:prstGeom>
                    <a:noFill/>
                    <a:ln>
                      <a:noFill/>
                    </a:ln>
                  </pic:spPr>
                </pic:pic>
              </a:graphicData>
            </a:graphic>
          </wp:inline>
        </w:drawing>
      </w:r>
    </w:p>
    <w:p w14:paraId="65EF56CE">
      <w:pPr>
        <w:pStyle w:val="4"/>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3</w:t>
      </w:r>
      <w:r>
        <w:rPr>
          <w:rFonts w:ascii="Times New Roman" w:hAnsi="Times New Roman" w:eastAsia="宋体" w:cs="Times New Roman"/>
          <w:b/>
          <w:bCs/>
          <w:color w:val="333333"/>
          <w:sz w:val="24"/>
          <w:szCs w:val="24"/>
          <w:shd w:val="clear" w:color="auto" w:fill="FFFFFF"/>
        </w:rPr>
        <w:t xml:space="preserve">.5 By clicking the </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Chelator Info</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 xml:space="preserve"> button, the detailed</w:t>
      </w:r>
      <w:r>
        <w:rPr>
          <w:rFonts w:hint="eastAsia" w:ascii="Times New Roman" w:hAnsi="Times New Roman" w:eastAsia="宋体" w:cs="Times New Roman"/>
          <w:b/>
          <w:bCs/>
          <w:color w:val="333333"/>
          <w:sz w:val="24"/>
          <w:szCs w:val="24"/>
          <w:shd w:val="clear" w:color="auto" w:fill="FFFFFF"/>
          <w:lang w:val="en-US" w:eastAsia="zh-CN"/>
        </w:rPr>
        <w:t xml:space="preserve"> </w:t>
      </w:r>
      <w:r>
        <w:rPr>
          <w:rFonts w:ascii="Times New Roman" w:hAnsi="Times New Roman" w:eastAsia="宋体" w:cs="Times New Roman"/>
          <w:b/>
          <w:bCs/>
          <w:color w:val="333333"/>
          <w:sz w:val="24"/>
          <w:szCs w:val="24"/>
          <w:shd w:val="clear" w:color="auto" w:fill="FFFFFF"/>
        </w:rPr>
        <w:t>Chelator</w:t>
      </w:r>
      <w:r>
        <w:rPr>
          <w:rFonts w:ascii="Times New Roman" w:hAnsi="Times New Roman" w:eastAsia="宋体" w:cs="Times New Roman"/>
          <w:b/>
          <w:bCs/>
          <w:color w:val="333333"/>
          <w:sz w:val="24"/>
          <w:szCs w:val="24"/>
          <w:shd w:val="clear" w:color="auto" w:fill="FFFFFF"/>
        </w:rPr>
        <w:t xml:space="preserve"> information page for will be displayed.</w:t>
      </w:r>
    </w:p>
    <w:p w14:paraId="4AE653C4">
      <w:pPr>
        <w:pStyle w:val="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DOTA as an example, 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General Information of This Chelator</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chelator, including its chelator ID, name, synonyms, external links, chemical structure, molecular formula, SMILES notation, InChI , InChIKey, IUPAC name, physicochemical properties, and ligand type. Please note that the physicochemical properties are calculated using the RDKit tool.</w:t>
      </w:r>
    </w:p>
    <w:p w14:paraId="7DC1C98A">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Times New Roman" w:hAnsi="Times New Roman" w:eastAsia="宋体" w:cs="Times New Roman"/>
          <w:color w:val="333333"/>
          <w:sz w:val="24"/>
          <w:szCs w:val="24"/>
          <w:shd w:val="clear" w:color="auto" w:fill="FFFFFF"/>
        </w:rPr>
      </w:pPr>
      <w:r>
        <w:rPr>
          <w:sz w:val="24"/>
          <w:szCs w:val="24"/>
          <w:shd w:val="clear" w:color="auto" w:fill="FFFFFF"/>
        </w:rPr>
        <w:drawing>
          <wp:inline distT="0" distB="0" distL="0" distR="0">
            <wp:extent cx="5274310" cy="7790815"/>
            <wp:effectExtent l="0" t="0" r="8890" b="6985"/>
            <wp:docPr id="71654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1259" name="图片 1"/>
                    <pic:cNvPicPr>
                      <a:picLocks noChangeAspect="1"/>
                    </pic:cNvPicPr>
                  </pic:nvPicPr>
                  <pic:blipFill>
                    <a:blip r:embed="rId19"/>
                    <a:stretch>
                      <a:fillRect/>
                    </a:stretch>
                  </pic:blipFill>
                  <pic:spPr>
                    <a:xfrm>
                      <a:off x="0" y="0"/>
                      <a:ext cx="5274310" cy="7790815"/>
                    </a:xfrm>
                    <a:prstGeom prst="rect">
                      <a:avLst/>
                    </a:prstGeom>
                  </pic:spPr>
                </pic:pic>
              </a:graphicData>
            </a:graphic>
          </wp:inline>
        </w:drawing>
      </w:r>
    </w:p>
    <w:p w14:paraId="68F4C0D0">
      <w:pPr>
        <w:pStyle w:val="4"/>
        <w:keepNext w:val="0"/>
        <w:keepLines w:val="0"/>
        <w:pageBreakBefore w:val="0"/>
        <w:widowControl w:val="0"/>
        <w:kinsoku/>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eastAsia="zh-CN"/>
        </w:rPr>
        <w:t>"related RDCs"</w:t>
      </w:r>
      <w:r>
        <w:rPr>
          <w:rFonts w:hint="default" w:ascii="Times New Roman" w:hAnsi="Times New Roman" w:cs="Times New Roman"/>
          <w:sz w:val="24"/>
          <w:szCs w:val="24"/>
        </w:rPr>
        <w:t xml:space="preserve"> section </w:t>
      </w:r>
      <w:r>
        <w:rPr>
          <w:rFonts w:hint="default" w:ascii="Times New Roman" w:hAnsi="Times New Roman" w:cs="Times New Roman"/>
          <w:sz w:val="24"/>
          <w:szCs w:val="24"/>
          <w:lang w:val="en-US" w:eastAsia="zh-CN"/>
        </w:rPr>
        <w:t xml:space="preserve">is about </w:t>
      </w:r>
      <w:r>
        <w:rPr>
          <w:rFonts w:hint="default" w:ascii="Times New Roman" w:hAnsi="Times New Roman" w:cs="Times New Roman"/>
          <w:sz w:val="24"/>
          <w:szCs w:val="24"/>
        </w:rPr>
        <w:t>Each Radionuclide Conjugate Related to This Chelator</w:t>
      </w:r>
      <w:r>
        <w:rPr>
          <w:rFonts w:hint="default" w:ascii="Times New Roman" w:hAnsi="Times New Roman" w:cs="Times New Roman"/>
          <w:sz w:val="24"/>
          <w:szCs w:val="24"/>
          <w:lang w:val="en-US" w:eastAsia="zh-CN"/>
        </w:rPr>
        <w:t xml:space="preserve">, which </w:t>
      </w:r>
      <w:r>
        <w:rPr>
          <w:rFonts w:hint="default" w:ascii="Times New Roman" w:hAnsi="Times New Roman" w:cs="Times New Roman"/>
          <w:sz w:val="24"/>
          <w:szCs w:val="24"/>
        </w:rPr>
        <w:t xml:space="preserve">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rPr>
        <w:t xml:space="preserve"> associated with this chelator.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rPr>
        <w:t>.</w:t>
      </w:r>
    </w:p>
    <w:p w14:paraId="0BC4BD39">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drawing>
          <wp:inline distT="0" distB="0" distL="0" distR="0">
            <wp:extent cx="5274310" cy="3214370"/>
            <wp:effectExtent l="0" t="0" r="8890" b="11430"/>
            <wp:docPr id="697667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67471" name="图片 1"/>
                    <pic:cNvPicPr>
                      <a:picLocks noChangeAspect="1"/>
                    </pic:cNvPicPr>
                  </pic:nvPicPr>
                  <pic:blipFill>
                    <a:blip r:embed="rId20"/>
                    <a:stretch>
                      <a:fillRect/>
                    </a:stretch>
                  </pic:blipFill>
                  <pic:spPr>
                    <a:xfrm>
                      <a:off x="0" y="0"/>
                      <a:ext cx="5274310" cy="3214370"/>
                    </a:xfrm>
                    <a:prstGeom prst="rect">
                      <a:avLst/>
                    </a:prstGeom>
                  </pic:spPr>
                </pic:pic>
              </a:graphicData>
            </a:graphic>
          </wp:inline>
        </w:drawing>
      </w:r>
    </w:p>
    <w:p w14:paraId="1D41545E">
      <w:pPr>
        <w:keepNext w:val="0"/>
        <w:keepLines w:val="0"/>
        <w:pageBreakBefore w:val="0"/>
        <w:widowControl w:val="0"/>
        <w:kinsoku/>
        <w:overflowPunct/>
        <w:topLinePunct w:val="0"/>
        <w:autoSpaceDE/>
        <w:autoSpaceDN/>
        <w:bidi w:val="0"/>
        <w:adjustRightInd/>
        <w:snapToGrid/>
        <w:spacing w:line="240" w:lineRule="auto"/>
        <w:textAlignment w:val="auto"/>
        <w:rPr>
          <w:rFonts w:hint="default"/>
          <w:sz w:val="24"/>
          <w:szCs w:val="24"/>
          <w:lang w:val="en-US" w:eastAsia="zh-CN"/>
        </w:rPr>
      </w:pPr>
    </w:p>
    <w:p w14:paraId="1DDC60C8">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ascii="Times New Roman" w:hAnsi="Times New Roman" w:eastAsia="宋体" w:cs="Times New Roman"/>
          <w:b/>
          <w:bCs/>
          <w:color w:val="333333"/>
          <w:sz w:val="24"/>
          <w:szCs w:val="24"/>
          <w:shd w:val="clear" w:color="auto" w:fill="FFFFFF"/>
        </w:rPr>
      </w:pPr>
      <w:r>
        <w:rPr>
          <w:rFonts w:hint="eastAsia" w:ascii="Times New Roman" w:hAnsi="Times New Roman" w:eastAsia="宋体" w:cs="Times New Roman"/>
          <w:b/>
          <w:bCs/>
          <w:color w:val="333333"/>
          <w:sz w:val="24"/>
          <w:szCs w:val="24"/>
          <w:shd w:val="clear" w:color="auto" w:fill="FFFFFF"/>
          <w:lang w:val="en-US" w:eastAsia="zh-CN"/>
        </w:rPr>
        <w:t>3</w:t>
      </w:r>
      <w:r>
        <w:rPr>
          <w:rFonts w:ascii="Times New Roman" w:hAnsi="Times New Roman" w:eastAsia="宋体" w:cs="Times New Roman"/>
          <w:b/>
          <w:bCs/>
          <w:color w:val="333333"/>
          <w:sz w:val="24"/>
          <w:szCs w:val="24"/>
          <w:shd w:val="clear" w:color="auto" w:fill="FFFFFF"/>
        </w:rPr>
        <w:t>.</w:t>
      </w:r>
      <w:r>
        <w:rPr>
          <w:rFonts w:hint="eastAsia" w:ascii="Times New Roman" w:hAnsi="Times New Roman" w:eastAsia="宋体" w:cs="Times New Roman"/>
          <w:b/>
          <w:bCs/>
          <w:color w:val="333333"/>
          <w:sz w:val="24"/>
          <w:szCs w:val="24"/>
          <w:shd w:val="clear" w:color="auto" w:fill="FFFFFF"/>
          <w:lang w:val="en-US" w:eastAsia="zh-CN"/>
        </w:rPr>
        <w:t>6</w:t>
      </w:r>
      <w:r>
        <w:rPr>
          <w:rFonts w:ascii="Times New Roman" w:hAnsi="Times New Roman" w:eastAsia="宋体" w:cs="Times New Roman"/>
          <w:b/>
          <w:bCs/>
          <w:color w:val="333333"/>
          <w:sz w:val="24"/>
          <w:szCs w:val="24"/>
          <w:shd w:val="clear" w:color="auto" w:fill="FFFFFF"/>
        </w:rPr>
        <w:t xml:space="preserve"> By clicking the </w:t>
      </w:r>
      <w:r>
        <w:rPr>
          <w:rFonts w:hint="eastAsia" w:ascii="Times New Roman" w:hAnsi="Times New Roman" w:eastAsia="宋体" w:cs="Times New Roman"/>
          <w:b/>
          <w:bCs/>
          <w:color w:val="333333"/>
          <w:sz w:val="24"/>
          <w:szCs w:val="24"/>
          <w:shd w:val="clear" w:color="auto" w:fill="FFFFFF"/>
          <w:lang w:eastAsia="zh-CN"/>
        </w:rPr>
        <w:t>"</w:t>
      </w:r>
      <w:r>
        <w:rPr>
          <w:rFonts w:hint="eastAsia" w:ascii="Times New Roman" w:hAnsi="Times New Roman" w:eastAsia="宋体" w:cs="Times New Roman"/>
          <w:b/>
          <w:bCs/>
          <w:color w:val="333333"/>
          <w:sz w:val="24"/>
          <w:szCs w:val="24"/>
          <w:shd w:val="clear" w:color="auto" w:fill="FFFFFF"/>
        </w:rPr>
        <w:t xml:space="preserve">Radionuclide </w:t>
      </w:r>
      <w:r>
        <w:rPr>
          <w:rFonts w:ascii="Times New Roman" w:hAnsi="Times New Roman" w:eastAsia="宋体" w:cs="Times New Roman"/>
          <w:b/>
          <w:bCs/>
          <w:color w:val="333333"/>
          <w:sz w:val="24"/>
          <w:szCs w:val="24"/>
          <w:shd w:val="clear" w:color="auto" w:fill="FFFFFF"/>
        </w:rPr>
        <w:t>Info</w:t>
      </w:r>
      <w:r>
        <w:rPr>
          <w:rFonts w:hint="eastAsia" w:ascii="Times New Roman" w:hAnsi="Times New Roman" w:eastAsia="宋体" w:cs="Times New Roman"/>
          <w:b/>
          <w:bCs/>
          <w:color w:val="333333"/>
          <w:sz w:val="24"/>
          <w:szCs w:val="24"/>
          <w:shd w:val="clear" w:color="auto" w:fill="FFFFFF"/>
          <w:lang w:eastAsia="zh-CN"/>
        </w:rPr>
        <w:t>"</w:t>
      </w:r>
      <w:r>
        <w:rPr>
          <w:rFonts w:ascii="Times New Roman" w:hAnsi="Times New Roman" w:eastAsia="宋体" w:cs="Times New Roman"/>
          <w:b/>
          <w:bCs/>
          <w:color w:val="333333"/>
          <w:sz w:val="24"/>
          <w:szCs w:val="24"/>
          <w:shd w:val="clear" w:color="auto" w:fill="FFFFFF"/>
        </w:rPr>
        <w:t xml:space="preserve"> button, the detailed</w:t>
      </w:r>
      <w:r>
        <w:rPr>
          <w:rFonts w:hint="eastAsia" w:ascii="Times New Roman" w:hAnsi="Times New Roman" w:eastAsia="宋体" w:cs="Times New Roman"/>
          <w:b/>
          <w:bCs/>
          <w:color w:val="333333"/>
          <w:sz w:val="24"/>
          <w:szCs w:val="24"/>
          <w:shd w:val="clear" w:color="auto" w:fill="FFFFFF"/>
          <w:lang w:val="en-US" w:eastAsia="zh-CN"/>
        </w:rPr>
        <w:t xml:space="preserve"> </w:t>
      </w:r>
      <w:r>
        <w:rPr>
          <w:rFonts w:hint="eastAsia" w:ascii="Times New Roman" w:hAnsi="Times New Roman" w:eastAsia="宋体" w:cs="Times New Roman"/>
          <w:b/>
          <w:bCs/>
          <w:color w:val="333333"/>
          <w:sz w:val="24"/>
          <w:szCs w:val="24"/>
          <w:shd w:val="clear" w:color="auto" w:fill="FFFFFF"/>
        </w:rPr>
        <w:t>Radionuclide</w:t>
      </w:r>
      <w:r>
        <w:rPr>
          <w:rFonts w:ascii="Times New Roman" w:hAnsi="Times New Roman" w:eastAsia="宋体" w:cs="Times New Roman"/>
          <w:b/>
          <w:bCs/>
          <w:color w:val="333333"/>
          <w:sz w:val="24"/>
          <w:szCs w:val="24"/>
          <w:shd w:val="clear" w:color="auto" w:fill="FFFFFF"/>
        </w:rPr>
        <w:t xml:space="preserve"> information page for will be displayed.</w:t>
      </w:r>
    </w:p>
    <w:p w14:paraId="617E86E0">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rFonts w:hint="eastAsia"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 xml:space="preserve">Using Gallium-68 as an example, the </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General Information of This Radionuclide</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presents the </w:t>
      </w:r>
      <w:r>
        <w:rPr>
          <w:rFonts w:hint="eastAsia" w:ascii="Times New Roman" w:hAnsi="Times New Roman" w:eastAsia="宋体" w:cs="Times New Roman"/>
          <w:color w:val="333333"/>
          <w:sz w:val="24"/>
          <w:szCs w:val="24"/>
          <w:shd w:val="clear" w:color="auto" w:fill="FFFFFF"/>
          <w:lang w:eastAsia="zh-CN"/>
        </w:rPr>
        <w:t>General</w:t>
      </w:r>
      <w:r>
        <w:rPr>
          <w:rFonts w:ascii="Times New Roman" w:hAnsi="Times New Roman" w:eastAsia="宋体" w:cs="Times New Roman"/>
          <w:color w:val="333333"/>
          <w:sz w:val="24"/>
          <w:szCs w:val="24"/>
          <w:shd w:val="clear" w:color="auto" w:fill="FFFFFF"/>
        </w:rPr>
        <w:t xml:space="preserve"> information of the Radionuclide, including its</w:t>
      </w:r>
      <w:r>
        <w:rPr>
          <w:sz w:val="24"/>
          <w:szCs w:val="24"/>
        </w:rPr>
        <w:t xml:space="preserve"> </w:t>
      </w:r>
      <w:r>
        <w:rPr>
          <w:rFonts w:ascii="Times New Roman" w:hAnsi="Times New Roman" w:eastAsia="宋体" w:cs="Times New Roman"/>
          <w:color w:val="333333"/>
          <w:sz w:val="24"/>
          <w:szCs w:val="24"/>
          <w:shd w:val="clear" w:color="auto" w:fill="FFFFFF"/>
        </w:rPr>
        <w:t>Radionuclide ID, name, synonyms,</w:t>
      </w:r>
      <w:r>
        <w:rPr>
          <w:sz w:val="24"/>
          <w:szCs w:val="24"/>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_half_life,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 xml:space="preserve">-emission,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rPr>
        <w:t>_energy</w:t>
      </w:r>
      <w:r>
        <w:rPr>
          <w:rFonts w:ascii="Times New Roman" w:hAnsi="Times New Roman" w:eastAsia="宋体" w:cs="Times New Roman"/>
          <w:color w:val="333333"/>
          <w:sz w:val="24"/>
          <w:szCs w:val="24"/>
          <w:shd w:val="clear" w:color="auto" w:fill="FFFFFF"/>
        </w:rPr>
        <w:t xml:space="preserve"> </w:t>
      </w:r>
      <w:r>
        <w:rPr>
          <w:rFonts w:hint="eastAsia" w:ascii="Times New Roman" w:hAnsi="Times New Roman" w:eastAsia="宋体" w:cs="Times New Roman"/>
          <w:color w:val="333333"/>
          <w:sz w:val="24"/>
          <w:szCs w:val="24"/>
          <w:shd w:val="clear" w:color="auto" w:fill="FFFFFF"/>
        </w:rPr>
        <w:t>.</w:t>
      </w:r>
    </w:p>
    <w:p w14:paraId="07DE1ACF">
      <w:pPr>
        <w:keepNext w:val="0"/>
        <w:keepLines w:val="0"/>
        <w:pageBreakBefore w:val="0"/>
        <w:widowControl w:val="0"/>
        <w:kinsoku/>
        <w:overflowPunct/>
        <w:topLinePunct w:val="0"/>
        <w:autoSpaceDE/>
        <w:autoSpaceDN/>
        <w:bidi w:val="0"/>
        <w:adjustRightInd/>
        <w:snapToGrid/>
        <w:spacing w:line="240" w:lineRule="auto"/>
        <w:textAlignment w:val="auto"/>
        <w:rPr>
          <w:sz w:val="24"/>
          <w:szCs w:val="24"/>
        </w:rPr>
      </w:pPr>
      <w:r>
        <w:rPr>
          <w:sz w:val="24"/>
          <w:szCs w:val="24"/>
        </w:rPr>
        <w:drawing>
          <wp:inline distT="0" distB="0" distL="114300" distR="114300">
            <wp:extent cx="5270500" cy="2418715"/>
            <wp:effectExtent l="0" t="0" r="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5270500" cy="2418715"/>
                    </a:xfrm>
                    <a:prstGeom prst="rect">
                      <a:avLst/>
                    </a:prstGeom>
                    <a:noFill/>
                    <a:ln>
                      <a:noFill/>
                    </a:ln>
                  </pic:spPr>
                </pic:pic>
              </a:graphicData>
            </a:graphic>
          </wp:inline>
        </w:drawing>
      </w:r>
    </w:p>
    <w:p w14:paraId="2CD2627C">
      <w:pPr>
        <w:pStyle w:val="4"/>
        <w:keepNext w:val="0"/>
        <w:keepLines w:val="0"/>
        <w:pageBreakBefore w:val="0"/>
        <w:widowControl w:val="0"/>
        <w:kinsoku/>
        <w:overflowPunct/>
        <w:topLinePunct w:val="0"/>
        <w:autoSpaceDE/>
        <w:autoSpaceDN/>
        <w:bidi w:val="0"/>
        <w:adjustRightInd/>
        <w:snapToGrid/>
        <w:spacing w:line="240" w:lineRule="auto"/>
        <w:ind w:firstLine="0" w:firstLineChars="0"/>
        <w:textAlignment w:val="auto"/>
        <w:rPr>
          <w:sz w:val="24"/>
          <w:szCs w:val="24"/>
        </w:rPr>
      </w:pPr>
      <w:r>
        <w:rPr>
          <w:rFonts w:ascii="Times New Roman" w:hAnsi="Times New Roman" w:eastAsia="宋体" w:cs="Times New Roman"/>
          <w:color w:val="333333"/>
          <w:sz w:val="24"/>
          <w:szCs w:val="24"/>
          <w:shd w:val="clear" w:color="auto" w:fill="FFFFFF"/>
        </w:rPr>
        <w:t xml:space="preserve">The </w:t>
      </w:r>
      <w:r>
        <w:rPr>
          <w:rFonts w:hint="eastAsia" w:ascii="Times New Roman" w:hAnsi="Times New Roman" w:eastAsia="宋体" w:cs="Times New Roman"/>
          <w:color w:val="333333"/>
          <w:sz w:val="24"/>
          <w:szCs w:val="24"/>
          <w:shd w:val="clear" w:color="auto" w:fill="FFFFFF"/>
          <w:lang w:eastAsia="zh-CN"/>
        </w:rPr>
        <w:t>"</w:t>
      </w:r>
      <w:r>
        <w:rPr>
          <w:rFonts w:hint="eastAsia" w:ascii="Times New Roman" w:hAnsi="Times New Roman" w:eastAsia="宋体" w:cs="Times New Roman"/>
          <w:color w:val="333333"/>
          <w:sz w:val="24"/>
          <w:szCs w:val="24"/>
          <w:shd w:val="clear" w:color="auto" w:fill="FFFFFF"/>
          <w:lang w:val="en-US" w:eastAsia="zh-CN"/>
        </w:rPr>
        <w:t>Related RDCs</w:t>
      </w:r>
      <w:r>
        <w:rPr>
          <w:rFonts w:hint="eastAsia" w:ascii="Times New Roman" w:hAnsi="Times New Roman" w:eastAsia="宋体" w:cs="Times New Roman"/>
          <w:color w:val="333333"/>
          <w:sz w:val="24"/>
          <w:szCs w:val="24"/>
          <w:shd w:val="clear" w:color="auto" w:fill="FFFFFF"/>
          <w:lang w:eastAsia="zh-CN"/>
        </w:rPr>
        <w:t>"</w:t>
      </w:r>
      <w:r>
        <w:rPr>
          <w:rFonts w:ascii="Times New Roman" w:hAnsi="Times New Roman" w:eastAsia="宋体" w:cs="Times New Roman"/>
          <w:color w:val="333333"/>
          <w:sz w:val="24"/>
          <w:szCs w:val="24"/>
          <w:shd w:val="clear" w:color="auto" w:fill="FFFFFF"/>
        </w:rPr>
        <w:t xml:space="preserve"> section </w:t>
      </w:r>
      <w:r>
        <w:rPr>
          <w:rFonts w:hint="eastAsia" w:ascii="Times New Roman" w:hAnsi="Times New Roman" w:eastAsia="宋体" w:cs="Times New Roman"/>
          <w:color w:val="333333"/>
          <w:sz w:val="24"/>
          <w:szCs w:val="24"/>
          <w:shd w:val="clear" w:color="auto" w:fill="FFFFFF"/>
          <w:lang w:val="en-US" w:eastAsia="zh-CN"/>
        </w:rPr>
        <w:t xml:space="preserve">is about </w:t>
      </w:r>
      <w:r>
        <w:rPr>
          <w:rFonts w:ascii="Times New Roman" w:hAnsi="Times New Roman" w:eastAsia="宋体" w:cs="Times New Roman"/>
          <w:color w:val="333333"/>
          <w:sz w:val="24"/>
          <w:szCs w:val="24"/>
          <w:shd w:val="clear" w:color="auto" w:fill="FFFFFF"/>
        </w:rPr>
        <w:t>Each Radionuclide Conjugate Related to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Radionuclide</w:t>
      </w:r>
      <w:r>
        <w:rPr>
          <w:rFonts w:hint="eastAsia" w:ascii="Times New Roman" w:hAnsi="Times New Roman" w:eastAsia="宋体" w:cs="Times New Roman"/>
          <w:color w:val="333333"/>
          <w:sz w:val="24"/>
          <w:szCs w:val="24"/>
          <w:shd w:val="clear" w:color="auto" w:fill="FFFFFF"/>
          <w:lang w:val="en-US" w:eastAsia="zh-CN"/>
        </w:rPr>
        <w:t xml:space="preserve">, which </w:t>
      </w:r>
      <w:r>
        <w:rPr>
          <w:rFonts w:ascii="Times New Roman" w:hAnsi="Times New Roman" w:eastAsia="宋体" w:cs="Times New Roman"/>
          <w:color w:val="333333"/>
          <w:sz w:val="24"/>
          <w:szCs w:val="24"/>
          <w:shd w:val="clear" w:color="auto" w:fill="FFFFFF"/>
        </w:rPr>
        <w:t xml:space="preserve">displays the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ascii="Times New Roman" w:hAnsi="Times New Roman" w:eastAsia="宋体" w:cs="Times New Roman"/>
          <w:color w:val="333333"/>
          <w:sz w:val="24"/>
          <w:szCs w:val="24"/>
          <w:shd w:val="clear" w:color="auto" w:fill="FFFFFF"/>
        </w:rPr>
        <w:t xml:space="preserve"> associated with this</w:t>
      </w:r>
      <w:r>
        <w:rPr>
          <w:rFonts w:hint="eastAsia" w:ascii="Times New Roman" w:hAnsi="Times New Roman" w:eastAsia="宋体" w:cs="Times New Roman"/>
          <w:color w:val="333333"/>
          <w:sz w:val="24"/>
          <w:szCs w:val="24"/>
          <w:shd w:val="clear" w:color="auto" w:fill="FFFFFF"/>
        </w:rPr>
        <w:t xml:space="preserve"> </w:t>
      </w:r>
      <w:r>
        <w:rPr>
          <w:rFonts w:ascii="Times New Roman" w:hAnsi="Times New Roman" w:eastAsia="宋体" w:cs="Times New Roman"/>
          <w:color w:val="333333"/>
          <w:sz w:val="24"/>
          <w:szCs w:val="24"/>
          <w:shd w:val="clear" w:color="auto" w:fill="FFFFFF"/>
        </w:rPr>
        <w:t xml:space="preserve">Radionuclide. Clicking each button will redirect users to the corresponding detail page for that 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ascii="Times New Roman" w:hAnsi="Times New Roman" w:eastAsia="宋体" w:cs="Times New Roman"/>
          <w:color w:val="333333"/>
          <w:sz w:val="24"/>
          <w:szCs w:val="24"/>
          <w:shd w:val="clear" w:color="auto" w:fill="FFFFFF"/>
        </w:rPr>
        <w:t>.</w:t>
      </w:r>
    </w:p>
    <w:p w14:paraId="235A0365">
      <w:pPr>
        <w:keepNext w:val="0"/>
        <w:keepLines w:val="0"/>
        <w:pageBreakBefore w:val="0"/>
        <w:widowControl w:val="0"/>
        <w:kinsoku/>
        <w:overflowPunct/>
        <w:topLinePunct w:val="0"/>
        <w:autoSpaceDE/>
        <w:autoSpaceDN/>
        <w:bidi w:val="0"/>
        <w:adjustRightInd/>
        <w:snapToGrid/>
        <w:spacing w:line="240" w:lineRule="auto"/>
        <w:textAlignment w:val="auto"/>
        <w:rPr>
          <w:rFonts w:hint="default"/>
          <w:sz w:val="24"/>
          <w:szCs w:val="24"/>
          <w:lang w:val="en-US" w:eastAsia="zh-CN"/>
        </w:rPr>
      </w:pPr>
      <w:r>
        <w:rPr>
          <w:sz w:val="24"/>
          <w:szCs w:val="24"/>
        </w:rPr>
        <w:drawing>
          <wp:inline distT="0" distB="0" distL="114300" distR="114300">
            <wp:extent cx="5272405" cy="3245485"/>
            <wp:effectExtent l="0" t="0" r="1079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5272405" cy="3245485"/>
                    </a:xfrm>
                    <a:prstGeom prst="rect">
                      <a:avLst/>
                    </a:prstGeom>
                    <a:noFill/>
                    <a:ln>
                      <a:noFill/>
                    </a:ln>
                  </pic:spPr>
                </pic:pic>
              </a:graphicData>
            </a:graphic>
          </wp:inline>
        </w:drawing>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汉仪字酷堂长林体W">
    <w:panose1 w:val="00020600040101010101"/>
    <w:charset w:val="86"/>
    <w:family w:val="auto"/>
    <w:pitch w:val="default"/>
    <w:sig w:usb0="8000003F" w:usb1="1AC104FA" w:usb2="00000016" w:usb3="00000000" w:csb0="0004009F" w:csb1="00000000"/>
  </w:font>
  <w:font w:name="汉仪中宋简">
    <w:panose1 w:val="02010600000101010101"/>
    <w:charset w:val="80"/>
    <w:family w:val="auto"/>
    <w:pitch w:val="default"/>
    <w:sig w:usb0="800002BF" w:usb1="184F6C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C733D"/>
    <w:rsid w:val="03AC733D"/>
    <w:rsid w:val="050B6856"/>
    <w:rsid w:val="06497B03"/>
    <w:rsid w:val="4C3363FD"/>
    <w:rsid w:val="58F66BE7"/>
    <w:rsid w:val="60500AA2"/>
    <w:rsid w:val="784A3300"/>
    <w:rsid w:val="7EBA7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2026-06-19T07:56:00Z</dcterms:created>
  <dc:creator>ζัジ谨色安年 </dc:creator>
  <cp:lastModifiedBy>ζัジ谨色安年 </cp:lastModifiedBy>
  <dcterms:modified xsi:type="dcterms:W3CDTF">2026-06-19T17:24:53Z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45D2F74F440F441E84DDBC4DD8AEFA93_11</vt:lpwstr>
  </property>
  <property fmtid="{D5CDD505-2E9C-101B-9397-08002B2CF9AE}" pid="4" name="KSOTemplateDocerSaveRecord">
    <vt:lpwstr>eyJoZGlkIjoiNzUwYWVjNDM1OTAyNDQ2MTBjNDM1MWMxYmRhOGE3MTIiLCJ1c2VySWQiOiIzMTE4NzQwMzgifQ==</vt:lpwstr>
  </property>
</Properties>
</file>