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E40EC1">
      <w:pPr>
        <w:rPr>
          <w:rFonts w:ascii="Times New Roman" w:hAnsi="Times New Roman" w:cs="Times New Roman"/>
          <w:sz w:val="24"/>
          <w:highlight w:val="cyan"/>
        </w:rPr>
      </w:pPr>
      <w:r>
        <w:rPr>
          <w:rFonts w:ascii="Times New Roman" w:hAnsi="Times New Roman" w:cs="Times New Roman"/>
          <w:sz w:val="24"/>
          <w:highlight w:val="cyan"/>
        </w:rPr>
        <w:t xml:space="preserve">Search for </w:t>
      </w:r>
      <w:r>
        <w:rPr>
          <w:rFonts w:hint="eastAsia" w:ascii="Times New Roman" w:hAnsi="Times New Roman" w:cs="Times New Roman"/>
          <w:sz w:val="24"/>
          <w:highlight w:val="cyan"/>
          <w:lang w:val="en-US" w:eastAsia="zh-CN"/>
        </w:rPr>
        <w:t xml:space="preserve">Chelator </w:t>
      </w:r>
      <w:r>
        <w:rPr>
          <w:rFonts w:ascii="Times New Roman" w:hAnsi="Times New Roman" w:cs="Times New Roman"/>
          <w:sz w:val="24"/>
          <w:highlight w:val="cyan"/>
        </w:rPr>
        <w:t xml:space="preserve">Information for Particular </w:t>
      </w:r>
      <w:r>
        <w:rPr>
          <w:rFonts w:hint="eastAsia" w:ascii="Times New Roman" w:hAnsi="Times New Roman" w:cs="Times New Roman"/>
          <w:sz w:val="24"/>
          <w:highlight w:val="cyan"/>
          <w:lang w:val="en-US" w:eastAsia="zh-CN"/>
        </w:rPr>
        <w:t>chelator</w:t>
      </w:r>
      <w:bookmarkStart w:id="0" w:name="_GoBack"/>
      <w:bookmarkEnd w:id="0"/>
      <w:r>
        <w:rPr>
          <w:rFonts w:ascii="Times New Roman" w:hAnsi="Times New Roman" w:cs="Times New Roman"/>
          <w:sz w:val="24"/>
          <w:highlight w:val="cyan"/>
        </w:rPr>
        <w:t xml:space="preserve"> Entity in RDCdb</w:t>
      </w:r>
    </w:p>
    <w:p w14:paraId="451A483A">
      <w:pPr>
        <w:rPr>
          <w:rFonts w:ascii="Times New Roman" w:hAnsi="Times New Roman" w:cs="Times New Roman"/>
          <w:sz w:val="24"/>
        </w:rPr>
      </w:pPr>
      <w:r>
        <w:rPr>
          <w:rFonts w:ascii="Times New Roman" w:hAnsi="Times New Roman" w:cs="Times New Roman"/>
          <w:sz w:val="24"/>
        </w:rPr>
        <w:t>n the “RDC Search” section, users can search the full-text content of the RDCdb database to identify relevant RDC entries by entering keywords such as RDC drug names, target names, ligand names, linker names, radionuclide names, chelator names, and other related terms.</w:t>
      </w:r>
    </w:p>
    <w:p w14:paraId="1C51A1D4">
      <w:pPr>
        <w:rPr>
          <w:rFonts w:ascii="Times New Roman" w:hAnsi="Times New Roman" w:cs="Times New Roman"/>
          <w:sz w:val="24"/>
          <w:highlight w:val="none"/>
        </w:rPr>
      </w:pPr>
      <w:r>
        <w:rPr>
          <w:rFonts w:ascii="Times New Roman" w:hAnsi="Times New Roman" w:cs="Times New Roman"/>
          <w:sz w:val="24"/>
        </w:rPr>
        <w:t xml:space="preserve">To perform a search, users simply enter a keyword in the main search box and submit the query. The search results page will display comprehensive information on all RDC drugs directly associated with the search term, including the RDC name, drug </w:t>
      </w:r>
      <w:r>
        <w:rPr>
          <w:rFonts w:ascii="Times New Roman" w:hAnsi="Times New Roman" w:cs="Times New Roman"/>
          <w:sz w:val="24"/>
          <w:highlight w:val="none"/>
        </w:rPr>
        <w:t>development stage, drug type, ligand name, linker name, chelator name, radionuclide name, and detailed links to the corresponding target information.</w:t>
      </w:r>
    </w:p>
    <w:p w14:paraId="31E0FF46">
      <w:pPr>
        <w:rPr>
          <w:rFonts w:hint="eastAsia" w:ascii="Times New Roman" w:hAnsi="Times New Roman" w:cs="Times New Roman"/>
          <w:sz w:val="24"/>
          <w:highlight w:val="none"/>
          <w:lang w:val="en-US" w:eastAsia="zh-CN"/>
        </w:rPr>
      </w:pPr>
      <w:r>
        <w:rPr>
          <w:rFonts w:hint="eastAsia" w:ascii="Times New Roman" w:hAnsi="Times New Roman" w:cs="Times New Roman"/>
          <w:sz w:val="24"/>
          <w:highlight w:val="none"/>
          <w:lang w:val="en-US" w:eastAsia="zh-CN"/>
        </w:rPr>
        <w:t>In order to facilitate a more customized input query, the wild characters of "?" are also supported.</w:t>
      </w:r>
    </w:p>
    <w:p w14:paraId="5B6BED40">
      <w:pPr>
        <w:rPr>
          <w:rFonts w:hint="eastAsia" w:ascii="Times New Roman" w:hAnsi="Times New Roman" w:cs="Times New Roman"/>
          <w:sz w:val="24"/>
          <w:highlight w:val="none"/>
          <w:lang w:val="en-US" w:eastAsia="zh-CN"/>
        </w:rPr>
      </w:pPr>
      <w:r>
        <w:rPr>
          <w:rFonts w:hint="eastAsia" w:ascii="Times New Roman" w:hAnsi="Times New Roman" w:cs="Times New Roman"/>
          <w:sz w:val="24"/>
          <w:highlight w:val="none"/>
          <w:lang w:val="en-US" w:eastAsia="zh-CN"/>
        </w:rPr>
        <w:t>(1) If search "DOTA-MAL", find a single API entry which is named "DOTA-MAL";</w:t>
      </w:r>
    </w:p>
    <w:p w14:paraId="660BEB82">
      <w:r>
        <w:rPr>
          <w:rFonts w:hint="eastAsia" w:ascii="Times New Roman" w:hAnsi="Times New Roman" w:cs="Times New Roman"/>
          <w:sz w:val="24"/>
          <w:highlight w:val="none"/>
          <w:lang w:val="en-US" w:eastAsia="zh-CN"/>
        </w:rPr>
        <w:t>(2)If search "DOTA", finds a series entries with chelator names.</w:t>
      </w:r>
    </w:p>
    <w:p w14:paraId="790544A8">
      <w:r>
        <w:drawing>
          <wp:inline distT="0" distB="0" distL="114300" distR="114300">
            <wp:extent cx="5271770" cy="2614295"/>
            <wp:effectExtent l="0" t="0" r="1143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1770" cy="2614295"/>
                    </a:xfrm>
                    <a:prstGeom prst="rect">
                      <a:avLst/>
                    </a:prstGeom>
                    <a:noFill/>
                    <a:ln>
                      <a:noFill/>
                    </a:ln>
                  </pic:spPr>
                </pic:pic>
              </a:graphicData>
            </a:graphic>
          </wp:inline>
        </w:drawing>
      </w:r>
    </w:p>
    <w:p w14:paraId="4AE653C4">
      <w:pPr>
        <w:pStyle w:val="4"/>
        <w:spacing w:line="360" w:lineRule="auto"/>
        <w:ind w:left="0" w:leftChars="0" w:firstLine="0" w:firstLineChars="0"/>
        <w:jc w:val="both"/>
        <w:rPr>
          <w:rFonts w:ascii="Times New Roman" w:hAnsi="Times New Roman" w:eastAsia="宋体" w:cs="Times New Roman"/>
          <w:color w:val="333333"/>
          <w:sz w:val="24"/>
          <w:szCs w:val="24"/>
          <w:shd w:val="clear" w:color="auto" w:fill="FFFFFF"/>
        </w:rPr>
      </w:pPr>
      <w:r>
        <w:rPr>
          <w:rFonts w:ascii="Times New Roman" w:hAnsi="Times New Roman" w:eastAsia="宋体" w:cs="Times New Roman"/>
          <w:color w:val="333333"/>
          <w:sz w:val="24"/>
          <w:szCs w:val="24"/>
          <w:shd w:val="clear" w:color="auto" w:fill="FFFFFF"/>
        </w:rPr>
        <w:t>Using DOTA as an example, the “General Information of This Chelator” section presents the basic information of the chelator, including its chelator ID, name, synonyms, external links, chemical structure, molecular formula, SMILES, InChI, InChIKey, IUPAC name, physicochemical properties, and ligand type. Please note that the physicochemical properties are calculated using the RDKit tool.</w:t>
      </w:r>
    </w:p>
    <w:p w14:paraId="0DDE4E1F">
      <w:pPr>
        <w:rPr>
          <w:shd w:val="clear" w:color="auto" w:fill="FFFFFF"/>
        </w:rPr>
      </w:pPr>
      <w:r>
        <w:rPr>
          <w:shd w:val="clear" w:color="auto" w:fill="FFFFFF"/>
        </w:rPr>
        <w:drawing>
          <wp:inline distT="0" distB="0" distL="0" distR="0">
            <wp:extent cx="5274310" cy="7790815"/>
            <wp:effectExtent l="0" t="0" r="8890" b="6985"/>
            <wp:docPr id="7165412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541259" name="图片 1"/>
                    <pic:cNvPicPr>
                      <a:picLocks noChangeAspect="1"/>
                    </pic:cNvPicPr>
                  </pic:nvPicPr>
                  <pic:blipFill>
                    <a:blip r:embed="rId5"/>
                    <a:stretch>
                      <a:fillRect/>
                    </a:stretch>
                  </pic:blipFill>
                  <pic:spPr>
                    <a:xfrm>
                      <a:off x="0" y="0"/>
                      <a:ext cx="5274310" cy="7790815"/>
                    </a:xfrm>
                    <a:prstGeom prst="rect">
                      <a:avLst/>
                    </a:prstGeom>
                  </pic:spPr>
                </pic:pic>
              </a:graphicData>
            </a:graphic>
          </wp:inline>
        </w:drawing>
      </w:r>
    </w:p>
    <w:p w14:paraId="68F4C0D0">
      <w:pPr>
        <w:pStyle w:val="4"/>
        <w:spacing w:line="360" w:lineRule="auto"/>
        <w:ind w:left="0" w:leftChars="0" w:firstLine="0" w:firstLineChars="0"/>
        <w:jc w:val="left"/>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R</w:t>
      </w:r>
      <w:r>
        <w:rPr>
          <w:rFonts w:hint="default" w:ascii="Times New Roman" w:hAnsi="Times New Roman" w:cs="Times New Roman"/>
          <w:sz w:val="24"/>
          <w:szCs w:val="24"/>
          <w:lang w:val="en-US" w:eastAsia="zh-CN"/>
        </w:rPr>
        <w:t>elated RDCs"</w:t>
      </w:r>
      <w:r>
        <w:rPr>
          <w:rFonts w:hint="default" w:ascii="Times New Roman" w:hAnsi="Times New Roman" w:cs="Times New Roman"/>
          <w:sz w:val="24"/>
          <w:szCs w:val="24"/>
        </w:rPr>
        <w:t xml:space="preserve"> section </w:t>
      </w:r>
      <w:r>
        <w:rPr>
          <w:rFonts w:hint="default" w:ascii="Times New Roman" w:hAnsi="Times New Roman" w:cs="Times New Roman"/>
          <w:sz w:val="24"/>
          <w:szCs w:val="24"/>
          <w:lang w:val="en-US" w:eastAsia="zh-CN"/>
        </w:rPr>
        <w:t xml:space="preserve">is about </w:t>
      </w:r>
      <w:r>
        <w:rPr>
          <w:rFonts w:hint="default" w:ascii="Times New Roman" w:hAnsi="Times New Roman" w:cs="Times New Roman"/>
          <w:sz w:val="24"/>
          <w:szCs w:val="24"/>
        </w:rPr>
        <w:t>Each Radionuclide Conjugate Related to This Chelator</w:t>
      </w:r>
      <w:r>
        <w:rPr>
          <w:rFonts w:hint="default" w:ascii="Times New Roman" w:hAnsi="Times New Roman" w:cs="Times New Roman"/>
          <w:sz w:val="24"/>
          <w:szCs w:val="24"/>
          <w:lang w:val="en-US" w:eastAsia="zh-CN"/>
        </w:rPr>
        <w:t xml:space="preserve">, which </w:t>
      </w:r>
      <w:r>
        <w:rPr>
          <w:rFonts w:hint="default" w:ascii="Times New Roman" w:hAnsi="Times New Roman" w:cs="Times New Roman"/>
          <w:sz w:val="24"/>
          <w:szCs w:val="24"/>
        </w:rPr>
        <w:t xml:space="preserve">displays the </w:t>
      </w:r>
      <w:r>
        <w:rPr>
          <w:rFonts w:ascii="Times New Roman" w:hAnsi="Times New Roman" w:eastAsia="宋体" w:cs="Times New Roman"/>
          <w:color w:val="333333"/>
          <w:sz w:val="24"/>
          <w:szCs w:val="24"/>
          <w:shd w:val="clear" w:color="auto" w:fill="FFFFFF"/>
        </w:rPr>
        <w:t xml:space="preserve">radionuclide </w:t>
      </w:r>
      <w:r>
        <w:rPr>
          <w:rFonts w:hint="eastAsia" w:ascii="Times New Roman" w:hAnsi="Times New Roman" w:eastAsia="宋体" w:cs="Times New Roman"/>
          <w:color w:val="333333"/>
          <w:sz w:val="24"/>
          <w:szCs w:val="24"/>
          <w:shd w:val="clear" w:color="auto" w:fill="FFFFFF"/>
          <w:lang w:val="en-US" w:eastAsia="zh-CN"/>
        </w:rPr>
        <w:t xml:space="preserve">drug </w:t>
      </w:r>
      <w:r>
        <w:rPr>
          <w:rFonts w:ascii="Times New Roman" w:hAnsi="Times New Roman" w:eastAsia="宋体" w:cs="Times New Roman"/>
          <w:color w:val="333333"/>
          <w:sz w:val="24"/>
          <w:szCs w:val="24"/>
          <w:shd w:val="clear" w:color="auto" w:fill="FFFFFF"/>
        </w:rPr>
        <w:t>conjugate</w:t>
      </w:r>
      <w:r>
        <w:rPr>
          <w:rFonts w:hint="eastAsia" w:ascii="Times New Roman" w:hAnsi="Times New Roman" w:eastAsia="宋体" w:cs="Times New Roman"/>
          <w:color w:val="333333"/>
          <w:sz w:val="24"/>
          <w:szCs w:val="24"/>
          <w:shd w:val="clear" w:color="auto" w:fill="FFFFFF"/>
          <w:lang w:val="en-US" w:eastAsia="zh-CN"/>
        </w:rPr>
        <w:t>s (RDCs)</w:t>
      </w:r>
      <w:r>
        <w:rPr>
          <w:rFonts w:hint="default" w:ascii="Times New Roman" w:hAnsi="Times New Roman" w:cs="Times New Roman"/>
          <w:sz w:val="24"/>
          <w:szCs w:val="24"/>
        </w:rPr>
        <w:t xml:space="preserve"> associated with this chelator. Clicking each button will redirect users to the corresponding detail page for that </w:t>
      </w:r>
      <w:r>
        <w:rPr>
          <w:rFonts w:ascii="Times New Roman" w:hAnsi="Times New Roman" w:eastAsia="宋体" w:cs="Times New Roman"/>
          <w:color w:val="333333"/>
          <w:sz w:val="24"/>
          <w:szCs w:val="24"/>
          <w:shd w:val="clear" w:color="auto" w:fill="FFFFFF"/>
        </w:rPr>
        <w:t xml:space="preserve">radionuclide </w:t>
      </w:r>
      <w:r>
        <w:rPr>
          <w:rFonts w:hint="eastAsia" w:ascii="Times New Roman" w:hAnsi="Times New Roman" w:eastAsia="宋体" w:cs="Times New Roman"/>
          <w:color w:val="333333"/>
          <w:sz w:val="24"/>
          <w:szCs w:val="24"/>
          <w:shd w:val="clear" w:color="auto" w:fill="FFFFFF"/>
          <w:lang w:val="en-US" w:eastAsia="zh-CN"/>
        </w:rPr>
        <w:t xml:space="preserve">drug </w:t>
      </w:r>
      <w:r>
        <w:rPr>
          <w:rFonts w:ascii="Times New Roman" w:hAnsi="Times New Roman" w:eastAsia="宋体" w:cs="Times New Roman"/>
          <w:color w:val="333333"/>
          <w:sz w:val="24"/>
          <w:szCs w:val="24"/>
          <w:shd w:val="clear" w:color="auto" w:fill="FFFFFF"/>
        </w:rPr>
        <w:t>conjugate</w:t>
      </w:r>
      <w:r>
        <w:rPr>
          <w:rFonts w:hint="eastAsia" w:ascii="Times New Roman" w:hAnsi="Times New Roman" w:eastAsia="宋体" w:cs="Times New Roman"/>
          <w:color w:val="333333"/>
          <w:sz w:val="24"/>
          <w:szCs w:val="24"/>
          <w:shd w:val="clear" w:color="auto" w:fill="FFFFFF"/>
          <w:lang w:val="en-US" w:eastAsia="zh-CN"/>
        </w:rPr>
        <w:t xml:space="preserve"> (RDC)</w:t>
      </w:r>
      <w:r>
        <w:rPr>
          <w:rFonts w:hint="default" w:ascii="Times New Roman" w:hAnsi="Times New Roman" w:cs="Times New Roman"/>
          <w:sz w:val="24"/>
          <w:szCs w:val="24"/>
        </w:rPr>
        <w:t>.</w:t>
      </w:r>
    </w:p>
    <w:p w14:paraId="1384821F">
      <w:pPr>
        <w:rPr>
          <w:rFonts w:ascii="Times New Roman" w:hAnsi="Times New Roman" w:eastAsia="宋体" w:cs="Times New Roman"/>
          <w:color w:val="333333"/>
          <w:sz w:val="15"/>
          <w:szCs w:val="15"/>
          <w:shd w:val="clear" w:color="auto" w:fill="FFFFFF"/>
        </w:rPr>
      </w:pPr>
      <w:r>
        <w:rPr>
          <w:rFonts w:ascii="Times New Roman" w:hAnsi="Times New Roman" w:eastAsia="宋体" w:cs="Times New Roman"/>
          <w:color w:val="333333"/>
          <w:sz w:val="15"/>
          <w:szCs w:val="15"/>
          <w:shd w:val="clear" w:color="auto" w:fill="FFFFFF"/>
        </w:rPr>
        <w:drawing>
          <wp:inline distT="0" distB="0" distL="0" distR="0">
            <wp:extent cx="5274310" cy="3214370"/>
            <wp:effectExtent l="0" t="0" r="8890" b="11430"/>
            <wp:docPr id="6976674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667471" name="图片 1"/>
                    <pic:cNvPicPr>
                      <a:picLocks noChangeAspect="1"/>
                    </pic:cNvPicPr>
                  </pic:nvPicPr>
                  <pic:blipFill>
                    <a:blip r:embed="rId6"/>
                    <a:stretch>
                      <a:fillRect/>
                    </a:stretch>
                  </pic:blipFill>
                  <pic:spPr>
                    <a:xfrm>
                      <a:off x="0" y="0"/>
                      <a:ext cx="5274310" cy="3214370"/>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汉仪中宋简">
    <w:panose1 w:val="02010600000101010101"/>
    <w:charset w:val="80"/>
    <w:family w:val="auto"/>
    <w:pitch w:val="default"/>
    <w:sig w:usb0="800002BF" w:usb1="184F6CF8" w:usb2="00000012" w:usb3="00000000" w:csb0="0002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19674F"/>
    <w:rsid w:val="01CA5CC8"/>
    <w:rsid w:val="2AF35795"/>
    <w:rsid w:val="7014496E"/>
    <w:rsid w:val="791967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paragraph" w:styleId="4">
    <w:name w:val="List Paragraph"/>
    <w:basedOn w:val="1"/>
    <w:unhideWhenUsed/>
    <w:uiPriority w:val="99"/>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2026-06-19T10:20:00Z</dcterms:created>
  <dc:creator>ζัジ谨色安年 </dc:creator>
  <cp:lastModifiedBy>ζัジ谨色安年 </cp:lastModifiedBy>
  <dcterms:modified xsi:type="dcterms:W3CDTF">2026-06-19T17:25:50Z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E0F22FCF33FD4DF6A6367014FD237C39_11</vt:lpwstr>
  </property>
  <property fmtid="{D5CDD505-2E9C-101B-9397-08002B2CF9AE}" pid="4" name="KSOTemplateDocerSaveRecord">
    <vt:lpwstr>eyJoZGlkIjoiNzUwYWVjNDM1OTAyNDQ2MTBjNDM1MWMxYmRhOGE3MTIiLCJ1c2VySWQiOiIzMTE4NzQwMzgifQ==</vt:lpwstr>
  </property>
</Properties>
</file>