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0F2F51"/>
          <w:sz w:val="32"/>
          <w:szCs w:val="32"/>
        </w:rPr>
        <w:t xml:space="preserve">CUSTOMER DISCOVERY GUIDE</w:t>
      </w:r>
    </w:p>
    <w:p>
      <w:pPr>
        <w:pBdr>
          <w:bottom w:val="single" w:color="D9E1F2" w:sz="12" w:space="4"/>
        </w:pBdr>
        <w:spacing w:after="40"/>
      </w:pPr>
      <w:r>
        <w:rPr>
          <w:rFonts w:ascii="Calibri" w:cs="Calibri" w:eastAsia="Calibri" w:hAnsi="Calibri"/>
          <w:b w:val="false"/>
          <w:bCs w:val="false"/>
          <w:i w:val="false"/>
          <w:iCs w:val="false"/>
          <w:color w:val="005587"/>
          <w:sz w:val="22"/>
          <w:szCs w:val="22"/>
        </w:rPr>
        <w:t xml:space="preserve">Owner-Side Capex and PIP Cost Intelligence</w:t>
      </w:r>
    </w:p>
    <w:p>
      <w:pPr>
        <w:spacing w:after="200"/>
      </w:pPr>
      <w:r>
        <w:rPr>
          <w:rFonts w:ascii="Calibri" w:cs="Calibri" w:eastAsia="Calibri" w:hAnsi="Calibri"/>
          <w:b w:val="false"/>
          <w:bCs w:val="false"/>
          <w:i w:val="false"/>
          <w:iCs w:val="false"/>
          <w:color w:val="9AA0A8"/>
          <w:sz w:val="18"/>
          <w:szCs w:val="18"/>
        </w:rPr>
        <w:t xml:space="preserve">15 questions for hotel ownership groups  |  September 2026</w:t>
      </w:r>
    </w:p>
    <w:p>
      <w:pPr>
        <w:pBdr>
          <w:bottom w:val="single" w:color="D9E1F2" w:sz="10" w:space="4"/>
        </w:pBdr>
        <w:spacing w:after="120" w:before="280"/>
      </w:pPr>
      <w:r>
        <w:rPr>
          <w:rFonts w:ascii="Calibri" w:cs="Calibri" w:eastAsia="Calibri" w:hAnsi="Calibri"/>
          <w:b/>
          <w:bCs/>
          <w:i w:val="false"/>
          <w:iCs w:val="false"/>
          <w:color w:val="0F2F51"/>
          <w:sz w:val="26"/>
          <w:szCs w:val="26"/>
        </w:rPr>
        <w:t xml:space="preserve">HOW TO USE THIS GUIDE</w:t>
      </w:r>
    </w:p>
    <w:p>
      <w:pPr>
        <w:spacing w:after="50" w:before="50"/>
        <w:ind w:left="403" w:hanging="0"/>
        <w:jc w:val="both"/>
      </w:pPr>
      <w:r>
        <w:rPr>
          <w:rFonts w:ascii="Calibri" w:cs="Calibri" w:eastAsia="Calibri" w:hAnsi="Calibri"/>
          <w:b/>
          <w:bCs/>
          <w:i w:val="false"/>
          <w:iCs w:val="false"/>
          <w:color w:val="080808"/>
          <w:sz w:val="20"/>
          <w:szCs w:val="20"/>
        </w:rPr>
        <w:t xml:space="preserve">Purpose: </w:t>
      </w:r>
      <w:r>
        <w:rPr>
          <w:rFonts w:ascii="Calibri" w:cs="Calibri" w:eastAsia="Calibri" w:hAnsi="Calibri"/>
          <w:b w:val="false"/>
          <w:bCs w:val="false"/>
          <w:i w:val="false"/>
          <w:iCs w:val="false"/>
          <w:color w:val="080808"/>
          <w:sz w:val="20"/>
          <w:szCs w:val="20"/>
        </w:rPr>
        <w:t xml:space="preserve">the objective of these calls is not to validate that the idea is good. It is to find the fastest available evidence that it is bad, so that a wrong thesis is abandoned in 90 days rather than in three years.</w:t>
      </w:r>
    </w:p>
    <w:p>
      <w:pPr>
        <w:spacing w:after="50" w:before="50"/>
        <w:ind w:left="403" w:hanging="0"/>
        <w:jc w:val="both"/>
      </w:pPr>
      <w:r>
        <w:rPr>
          <w:rFonts w:ascii="Calibri" w:cs="Calibri" w:eastAsia="Calibri" w:hAnsi="Calibri"/>
          <w:b/>
          <w:bCs/>
          <w:i w:val="false"/>
          <w:iCs w:val="false"/>
          <w:color w:val="080808"/>
          <w:sz w:val="20"/>
          <w:szCs w:val="20"/>
        </w:rPr>
        <w:t xml:space="preserve">Sample: </w:t>
      </w:r>
      <w:r>
        <w:rPr>
          <w:rFonts w:ascii="Calibri" w:cs="Calibri" w:eastAsia="Calibri" w:hAnsi="Calibri"/>
          <w:b w:val="false"/>
          <w:bCs w:val="false"/>
          <w:i w:val="false"/>
          <w:iCs w:val="false"/>
          <w:color w:val="080808"/>
          <w:sz w:val="20"/>
          <w:szCs w:val="20"/>
        </w:rPr>
        <w:t xml:space="preserve">target 15 to 20 completed calls. Aim for roughly 10 institutional owners holding 10 or more hotels and roughly 8 mid-market owners holding 3 to 9 hotels, since the two segments will answer Q9 and Q13 very differently.</w:t>
      </w:r>
    </w:p>
    <w:p>
      <w:pPr>
        <w:spacing w:after="50" w:before="50"/>
        <w:ind w:left="403" w:hanging="0"/>
        <w:jc w:val="both"/>
      </w:pPr>
      <w:r>
        <w:rPr>
          <w:rFonts w:ascii="Calibri" w:cs="Calibri" w:eastAsia="Calibri" w:hAnsi="Calibri"/>
          <w:b/>
          <w:bCs/>
          <w:i w:val="false"/>
          <w:iCs w:val="false"/>
          <w:color w:val="080808"/>
          <w:sz w:val="20"/>
          <w:szCs w:val="20"/>
        </w:rPr>
        <w:t xml:space="preserve">Seniority: </w:t>
      </w:r>
      <w:r>
        <w:rPr>
          <w:rFonts w:ascii="Calibri" w:cs="Calibri" w:eastAsia="Calibri" w:hAnsi="Calibri"/>
          <w:b w:val="false"/>
          <w:bCs w:val="false"/>
          <w:i w:val="false"/>
          <w:iCs w:val="false"/>
          <w:color w:val="080808"/>
          <w:sz w:val="20"/>
          <w:szCs w:val="20"/>
        </w:rPr>
        <w:t xml:space="preserve">the right respondent is a VP or Director of Asset Management, or a Head of Construction and Capital Projects. A CFO is too far from the workflow and a property General Manager is on the wrong side of the ownership line.</w:t>
      </w:r>
    </w:p>
    <w:p>
      <w:pPr>
        <w:spacing w:after="50" w:before="50"/>
        <w:ind w:left="403" w:hanging="0"/>
        <w:jc w:val="both"/>
      </w:pPr>
      <w:r>
        <w:rPr>
          <w:rFonts w:ascii="Calibri" w:cs="Calibri" w:eastAsia="Calibri" w:hAnsi="Calibri"/>
          <w:b/>
          <w:bCs/>
          <w:i w:val="false"/>
          <w:iCs w:val="false"/>
          <w:color w:val="080808"/>
          <w:sz w:val="20"/>
          <w:szCs w:val="20"/>
        </w:rPr>
        <w:t xml:space="preserve">Length: </w:t>
      </w:r>
      <w:r>
        <w:rPr>
          <w:rFonts w:ascii="Calibri" w:cs="Calibri" w:eastAsia="Calibri" w:hAnsi="Calibri"/>
          <w:b w:val="false"/>
          <w:bCs w:val="false"/>
          <w:i w:val="false"/>
          <w:iCs w:val="false"/>
          <w:color w:val="080808"/>
          <w:sz w:val="20"/>
          <w:szCs w:val="20"/>
        </w:rPr>
        <w:t xml:space="preserve">30 minutes. Do not book an hour, because a shorter ask converts materially better and the guide is built to fit.</w:t>
      </w:r>
    </w:p>
    <w:p>
      <w:pPr>
        <w:spacing w:after="50" w:before="50"/>
        <w:ind w:left="403" w:hanging="0"/>
        <w:jc w:val="both"/>
      </w:pPr>
      <w:r>
        <w:rPr>
          <w:rFonts w:ascii="Calibri" w:cs="Calibri" w:eastAsia="Calibri" w:hAnsi="Calibri"/>
          <w:b/>
          <w:bCs/>
          <w:i w:val="false"/>
          <w:iCs w:val="false"/>
          <w:color w:val="080808"/>
          <w:sz w:val="20"/>
          <w:szCs w:val="20"/>
        </w:rPr>
        <w:t xml:space="preserve">Recording: </w:t>
      </w:r>
      <w:r>
        <w:rPr>
          <w:rFonts w:ascii="Calibri" w:cs="Calibri" w:eastAsia="Calibri" w:hAnsi="Calibri"/>
          <w:b w:val="false"/>
          <w:bCs w:val="false"/>
          <w:i w:val="false"/>
          <w:iCs w:val="false"/>
          <w:color w:val="080808"/>
          <w:sz w:val="20"/>
          <w:szCs w:val="20"/>
        </w:rPr>
        <w:t xml:space="preserve">ask permission and record. Verbatim language from Q4 and Q7 becomes the pitch, and paraphrase loses it.</w:t>
      </w:r>
    </w:p>
    <w:p>
      <w:pPr>
        <w:spacing w:after="50" w:before="50"/>
        <w:ind w:left="403" w:hanging="0"/>
        <w:jc w:val="both"/>
      </w:pPr>
      <w:r>
        <w:rPr>
          <w:rFonts w:ascii="Calibri" w:cs="Calibri" w:eastAsia="Calibri" w:hAnsi="Calibri"/>
          <w:b/>
          <w:bCs/>
          <w:i w:val="false"/>
          <w:iCs w:val="false"/>
          <w:color w:val="080808"/>
          <w:sz w:val="20"/>
          <w:szCs w:val="20"/>
        </w:rPr>
        <w:t xml:space="preserve">The discipline that matters most: </w:t>
      </w:r>
      <w:r>
        <w:rPr>
          <w:rFonts w:ascii="Calibri" w:cs="Calibri" w:eastAsia="Calibri" w:hAnsi="Calibri"/>
          <w:b w:val="false"/>
          <w:bCs w:val="false"/>
          <w:i w:val="false"/>
          <w:iCs w:val="false"/>
          <w:color w:val="080808"/>
          <w:sz w:val="20"/>
          <w:szCs w:val="20"/>
        </w:rPr>
        <w:t xml:space="preserve">ask the question, then stop talking. The most common failure in founder discovery is describing the product and then asking whether it sounds useful, which reliably produces a polite yes and no information.</w:t>
      </w:r>
    </w:p>
    <w:p>
      <w:pPr>
        <w:pBdr>
          <w:bottom w:val="single" w:color="D9E1F2" w:sz="10" w:space="4"/>
        </w:pBdr>
        <w:spacing w:after="120" w:before="280"/>
      </w:pPr>
      <w:r>
        <w:rPr>
          <w:rFonts w:ascii="Calibri" w:cs="Calibri" w:eastAsia="Calibri" w:hAnsi="Calibri"/>
          <w:b/>
          <w:bCs/>
          <w:i w:val="false"/>
          <w:iCs w:val="false"/>
          <w:color w:val="0F2F51"/>
          <w:sz w:val="26"/>
          <w:szCs w:val="26"/>
        </w:rPr>
        <w:t xml:space="preserve">CALL STRUCTURE</w:t>
      </w:r>
    </w:p>
    <w:tbl>
      <w:tblPr>
        <w:tblW w:type="dxa" w:w="10080"/>
        <w:tblBorders>
          <w:top w:val="none"/>
          <w:left w:val="none"/>
          <w:bottom w:val="none"/>
          <w:right w:val="none"/>
          <w:insideH w:val="none"/>
          <w:insideV w:val="none"/>
        </w:tblBorders>
      </w:tblPr>
      <w:tblGrid>
        <w:gridCol w:w="1900"/>
        <w:gridCol w:w="1000"/>
        <w:gridCol w:w="7180"/>
      </w:tblGrid>
      <w:tr>
        <w:trPr>
          <w:tblHeader/>
        </w:trPr>
        <w:tc>
          <w:tcPr>
            <w:tcW w:type="dxa" w:w="1900"/>
            <w:shd w:fill="0F2F51" w:val="clear"/>
            <w:tcMar>
              <w:top w:type="dxa" w:w="60"/>
              <w:left w:type="dxa" w:w="90"/>
              <w:bottom w:type="dxa" w:w="60"/>
              <w:right w:type="dxa" w:w="90"/>
            </w:tcMar>
          </w:tcPr>
          <w:p>
            <w:pPr>
              <w:jc w:val="left"/>
            </w:pPr>
            <w:r>
              <w:rPr>
                <w:rFonts w:ascii="Calibri" w:cs="Calibri" w:eastAsia="Calibri" w:hAnsi="Calibri"/>
                <w:b/>
                <w:bCs/>
                <w:i w:val="false"/>
                <w:iCs w:val="false"/>
                <w:color w:val="FFFFFF"/>
                <w:sz w:val="19"/>
                <w:szCs w:val="19"/>
              </w:rPr>
              <w:t xml:space="preserve">Segment</w:t>
            </w:r>
          </w:p>
        </w:tc>
        <w:tc>
          <w:tcPr>
            <w:tcW w:type="dxa" w:w="1000"/>
            <w:shd w:fill="0F2F51" w:val="clear"/>
            <w:tcMar>
              <w:top w:type="dxa" w:w="60"/>
              <w:left w:type="dxa" w:w="90"/>
              <w:bottom w:type="dxa" w:w="60"/>
              <w:right w:type="dxa" w:w="90"/>
            </w:tcMar>
          </w:tcPr>
          <w:p>
            <w:pPr>
              <w:jc w:val="center"/>
            </w:pPr>
            <w:r>
              <w:rPr>
                <w:rFonts w:ascii="Calibri" w:cs="Calibri" w:eastAsia="Calibri" w:hAnsi="Calibri"/>
                <w:b/>
                <w:bCs/>
                <w:i w:val="false"/>
                <w:iCs w:val="false"/>
                <w:color w:val="FFFFFF"/>
                <w:sz w:val="19"/>
                <w:szCs w:val="19"/>
              </w:rPr>
              <w:t xml:space="preserve">Minutes</w:t>
            </w:r>
          </w:p>
        </w:tc>
        <w:tc>
          <w:tcPr>
            <w:tcW w:type="dxa" w:w="7180"/>
            <w:shd w:fill="0F2F51" w:val="clear"/>
            <w:tcMar>
              <w:top w:type="dxa" w:w="60"/>
              <w:left w:type="dxa" w:w="90"/>
              <w:bottom w:type="dxa" w:w="60"/>
              <w:right w:type="dxa" w:w="90"/>
            </w:tcMar>
          </w:tcPr>
          <w:p>
            <w:pPr>
              <w:jc w:val="left"/>
            </w:pPr>
            <w:r>
              <w:rPr>
                <w:rFonts w:ascii="Calibri" w:cs="Calibri" w:eastAsia="Calibri" w:hAnsi="Calibri"/>
                <w:b/>
                <w:bCs/>
                <w:i w:val="false"/>
                <w:iCs w:val="false"/>
                <w:color w:val="FFFFFF"/>
                <w:sz w:val="19"/>
                <w:szCs w:val="19"/>
              </w:rPr>
              <w:t xml:space="preserve">Purpose</w:t>
            </w:r>
          </w:p>
        </w:tc>
      </w:tr>
      <w:tr>
        <w:tc>
          <w:tcPr>
            <w:tcW w:type="dxa" w:w="1900"/>
            <w:shd w:fill="FFFFFF"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Framing</w:t>
            </w:r>
          </w:p>
        </w:tc>
        <w:tc>
          <w:tcPr>
            <w:tcW w:type="dxa" w:w="1000"/>
            <w:shd w:fill="FFFFFF"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2</w:t>
            </w:r>
          </w:p>
        </w:tc>
        <w:tc>
          <w:tcPr>
            <w:tcW w:type="dxa" w:w="7180"/>
            <w:shd w:fill="FFFFFF"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State that you are researching how owners price capital projects and that you are not selling anything. This is true at this stage and it should stay true for the whole call.</w:t>
            </w:r>
          </w:p>
        </w:tc>
      </w:tr>
      <w:tr>
        <w:tc>
          <w:tcPr>
            <w:tcW w:type="dxa" w:w="1900"/>
            <w:shd w:fill="F2F2F2"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Section A: Context</w:t>
            </w:r>
          </w:p>
        </w:tc>
        <w:tc>
          <w:tcPr>
            <w:tcW w:type="dxa" w:w="1000"/>
            <w:shd w:fill="F2F2F2"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5</w:t>
            </w:r>
          </w:p>
        </w:tc>
        <w:tc>
          <w:tcPr>
            <w:tcW w:type="dxa" w:w="7180"/>
            <w:shd w:fill="F2F2F2"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Establish role, portfolio shape and who owns the capital plan. Questions 1 to 3.</w:t>
            </w:r>
          </w:p>
        </w:tc>
      </w:tr>
      <w:tr>
        <w:tc>
          <w:tcPr>
            <w:tcW w:type="dxa" w:w="1900"/>
            <w:shd w:fill="FFFFFF"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Section B: The problem</w:t>
            </w:r>
          </w:p>
        </w:tc>
        <w:tc>
          <w:tcPr>
            <w:tcW w:type="dxa" w:w="1000"/>
            <w:shd w:fill="FFFFFF"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10</w:t>
            </w:r>
          </w:p>
        </w:tc>
        <w:tc>
          <w:tcPr>
            <w:tcW w:type="dxa" w:w="7180"/>
            <w:shd w:fill="FFFFFF"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The core of the call. Do not shorten this section to make time. Questions 4 to 8.</w:t>
            </w:r>
          </w:p>
        </w:tc>
      </w:tr>
      <w:tr>
        <w:tc>
          <w:tcPr>
            <w:tcW w:type="dxa" w:w="1900"/>
            <w:shd w:fill="F2F2F2"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Section C: Willingness to pay</w:t>
            </w:r>
          </w:p>
        </w:tc>
        <w:tc>
          <w:tcPr>
            <w:tcW w:type="dxa" w:w="1000"/>
            <w:shd w:fill="F2F2F2"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8</w:t>
            </w:r>
          </w:p>
        </w:tc>
        <w:tc>
          <w:tcPr>
            <w:tcW w:type="dxa" w:w="7180"/>
            <w:shd w:fill="F2F2F2"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Anchor against existing spend rather than asking for a hypothetical price. Questions 9 to 12.</w:t>
            </w:r>
          </w:p>
        </w:tc>
      </w:tr>
      <w:tr>
        <w:tc>
          <w:tcPr>
            <w:tcW w:type="dxa" w:w="1900"/>
            <w:shd w:fill="FFFFFF"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Section D: The data ask</w:t>
            </w:r>
          </w:p>
        </w:tc>
        <w:tc>
          <w:tcPr>
            <w:tcW w:type="dxa" w:w="1000"/>
            <w:shd w:fill="FFFFFF"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4</w:t>
            </w:r>
          </w:p>
        </w:tc>
        <w:tc>
          <w:tcPr>
            <w:tcW w:type="dxa" w:w="7180"/>
            <w:shd w:fill="FFFFFF"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Test the contributory model. Questions 13 to 15.</w:t>
            </w:r>
          </w:p>
        </w:tc>
      </w:tr>
      <w:tr>
        <w:tc>
          <w:tcPr>
            <w:tcW w:type="dxa" w:w="1900"/>
            <w:shd w:fill="F2F2F2"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Close</w:t>
            </w:r>
          </w:p>
        </w:tc>
        <w:tc>
          <w:tcPr>
            <w:tcW w:type="dxa" w:w="1000"/>
            <w:shd w:fill="F2F2F2"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1</w:t>
            </w:r>
          </w:p>
        </w:tc>
        <w:tc>
          <w:tcPr>
            <w:tcW w:type="dxa" w:w="7180"/>
            <w:shd w:fill="F2F2F2"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Two asks only, set out at the end of this guide.</w:t>
            </w:r>
          </w:p>
        </w:tc>
      </w:tr>
    </w:tbl>
    <w:p>
      <w:pPr>
        <w:spacing w:after="120" w:before="120"/>
      </w:pPr>
      <w:r>
        <w:rPr>
          <w:rFonts w:ascii="Calibri" w:cs="Calibri" w:eastAsia="Calibri" w:hAnsi="Calibri"/>
          <w:b w:val="false"/>
          <w:bCs w:val="false"/>
          <w:i/>
          <w:iCs/>
          <w:color w:val="9AA0A8"/>
          <w:sz w:val="14"/>
          <w:szCs w:val="14"/>
        </w:rPr>
        <w:t xml:space="preserve">Note: if the call runs short, cut Section A rather than Section B. Portfolio facts can be researched beforehand; the answer to question 4 cannot.</w:t>
      </w:r>
    </w:p>
    <w:p>
      <w:pPr>
        <w:pBdr>
          <w:bottom w:val="single" w:color="D9E1F2" w:sz="10" w:space="4"/>
        </w:pBdr>
        <w:spacing w:after="120" w:before="280"/>
      </w:pPr>
      <w:r>
        <w:rPr>
          <w:rFonts w:ascii="Calibri" w:cs="Calibri" w:eastAsia="Calibri" w:hAnsi="Calibri"/>
          <w:b/>
          <w:bCs/>
          <w:i w:val="false"/>
          <w:iCs w:val="false"/>
          <w:color w:val="0F2F51"/>
          <w:sz w:val="26"/>
          <w:szCs w:val="26"/>
        </w:rPr>
        <w:t xml:space="preserve">SECTION: CONTEXT</w:t>
      </w:r>
    </w:p>
    <w:p>
      <w:pPr>
        <w:shd w:fill="F2F2F2" w:val="clear"/>
        <w:spacing w:after="60" w:before="200"/>
      </w:pPr>
      <w:r>
        <w:rPr>
          <w:rFonts w:ascii="Calibri" w:cs="Calibri" w:eastAsia="Calibri" w:hAnsi="Calibri"/>
          <w:b/>
          <w:bCs/>
          <w:i w:val="false"/>
          <w:iCs w:val="false"/>
          <w:color w:val="0F2F51"/>
          <w:sz w:val="20"/>
          <w:szCs w:val="20"/>
        </w:rPr>
        <w:t xml:space="preserve">Q1.  </w:t>
      </w:r>
      <w:r>
        <w:rPr>
          <w:rFonts w:ascii="Calibri" w:cs="Calibri" w:eastAsia="Calibri" w:hAnsi="Calibri"/>
          <w:b/>
          <w:bCs/>
          <w:i w:val="false"/>
          <w:iCs w:val="false"/>
          <w:color w:val="0F2F51"/>
          <w:sz w:val="20"/>
          <w:szCs w:val="20"/>
        </w:rPr>
        <w:t xml:space="preserve">Walk me through the last hotel your group bought or sold. At what point in that process did the property improvement plan number first come up, and who produced it?</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Whether capex enters the process early as an underwriting input or late as a negotiation weapon. Early means it is a diligence spend and you sell to diligence budgets. Late means it is a deal-risk spend, which prices higher.</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An unprompted story about the PIP number moving after the LOI. That is the pain you are selling against.</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They cannot recall the number or who produced it. This person is not close enough to capex to be a buyer.</w:t>
      </w:r>
    </w:p>
    <w:p>
      <w:pPr>
        <w:shd w:fill="F2F2F2" w:val="clear"/>
        <w:spacing w:after="60" w:before="200"/>
      </w:pPr>
      <w:r>
        <w:rPr>
          <w:rFonts w:ascii="Calibri" w:cs="Calibri" w:eastAsia="Calibri" w:hAnsi="Calibri"/>
          <w:b/>
          <w:bCs/>
          <w:i w:val="false"/>
          <w:iCs w:val="false"/>
          <w:color w:val="0F2F51"/>
          <w:sz w:val="20"/>
          <w:szCs w:val="20"/>
        </w:rPr>
        <w:t xml:space="preserve">Q2.  </w:t>
      </w:r>
      <w:r>
        <w:rPr>
          <w:rFonts w:ascii="Calibri" w:cs="Calibri" w:eastAsia="Calibri" w:hAnsi="Calibri"/>
          <w:b/>
          <w:bCs/>
          <w:i w:val="false"/>
          <w:iCs w:val="false"/>
          <w:color w:val="0F2F51"/>
          <w:sz w:val="20"/>
          <w:szCs w:val="20"/>
        </w:rPr>
        <w:t xml:space="preserve">How many hotels do you have, across how many brands and how many third-party managers?</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Segment placement and whether the multi-manager fragmentation thesis holds for them.</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Three or more managers, or four or more brands. That fragmentation is what makes internal benchmarking impossible for them.</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A single manager and a single brand. Their manager's own data is probably sufficient.</w:t>
      </w:r>
    </w:p>
    <w:p>
      <w:pPr>
        <w:shd w:fill="F2F2F2" w:val="clear"/>
        <w:spacing w:after="60" w:before="200"/>
      </w:pPr>
      <w:r>
        <w:rPr>
          <w:rFonts w:ascii="Calibri" w:cs="Calibri" w:eastAsia="Calibri" w:hAnsi="Calibri"/>
          <w:b/>
          <w:bCs/>
          <w:i w:val="false"/>
          <w:iCs w:val="false"/>
          <w:color w:val="0F2F51"/>
          <w:sz w:val="20"/>
          <w:szCs w:val="20"/>
        </w:rPr>
        <w:t xml:space="preserve">Q3.  </w:t>
      </w:r>
      <w:r>
        <w:rPr>
          <w:rFonts w:ascii="Calibri" w:cs="Calibri" w:eastAsia="Calibri" w:hAnsi="Calibri"/>
          <w:b/>
          <w:bCs/>
          <w:i w:val="false"/>
          <w:iCs w:val="false"/>
          <w:color w:val="0F2F51"/>
          <w:sz w:val="20"/>
          <w:szCs w:val="20"/>
        </w:rPr>
        <w:t xml:space="preserve">Who owns the capital plan internally, and how many people touch it before it reaches the investment committee?</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Whether there is an identifiable buyer and budget holder, or whether capex is orphaned across asset management, construction and finance.</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 named VP of asset management or construction with a defined budget. That is your buyer.</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Nobody owns it, or it is owned by a construction consultant they hire per project. You would be selling to the consultant, not the owner.</w:t>
      </w:r>
    </w:p>
    <w:p>
      <w:pPr>
        <w:pBdr>
          <w:bottom w:val="single" w:color="D9E1F2" w:sz="10" w:space="4"/>
        </w:pBdr>
        <w:spacing w:after="120" w:before="280"/>
      </w:pPr>
      <w:r>
        <w:rPr>
          <w:rFonts w:ascii="Calibri" w:cs="Calibri" w:eastAsia="Calibri" w:hAnsi="Calibri"/>
          <w:b/>
          <w:bCs/>
          <w:i w:val="false"/>
          <w:iCs w:val="false"/>
          <w:color w:val="0F2F51"/>
          <w:sz w:val="26"/>
          <w:szCs w:val="26"/>
        </w:rPr>
        <w:t xml:space="preserve">SECTION: THE PROBLEM</w:t>
      </w:r>
    </w:p>
    <w:p>
      <w:pPr>
        <w:shd w:fill="F2F2F2" w:val="clear"/>
        <w:spacing w:after="60" w:before="200"/>
      </w:pPr>
      <w:r>
        <w:rPr>
          <w:rFonts w:ascii="Calibri" w:cs="Calibri" w:eastAsia="Calibri" w:hAnsi="Calibri"/>
          <w:b/>
          <w:bCs/>
          <w:i w:val="false"/>
          <w:iCs w:val="false"/>
          <w:color w:val="0F2F51"/>
          <w:sz w:val="20"/>
          <w:szCs w:val="20"/>
        </w:rPr>
        <w:t xml:space="preserve">Q4.  </w:t>
      </w:r>
      <w:r>
        <w:rPr>
          <w:rFonts w:ascii="Calibri" w:cs="Calibri" w:eastAsia="Calibri" w:hAnsi="Calibri"/>
          <w:b/>
          <w:bCs/>
          <w:i w:val="false"/>
          <w:iCs w:val="false"/>
          <w:color w:val="0F2F51"/>
          <w:sz w:val="20"/>
          <w:szCs w:val="20"/>
        </w:rPr>
        <w:t xml:space="preserve">The last time a brand handed you a PIP, how did you decide whether the cost per key they implied was reasonable?</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This is the core question of the entire study. It establishes whether an unmet benchmarking need exists in their own words.</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Any answer involving a phone call to a peer, a broker, or a general contractor. That is a manual benchmark and it is the workflow you are replacing.</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A confident answer naming a tool or a dataset. Ask what it is; you may have found an incumbent you missed.</w:t>
      </w:r>
    </w:p>
    <w:p>
      <w:pPr>
        <w:shd w:fill="F2F2F2" w:val="clear"/>
        <w:spacing w:after="60" w:before="200"/>
      </w:pPr>
      <w:r>
        <w:rPr>
          <w:rFonts w:ascii="Calibri" w:cs="Calibri" w:eastAsia="Calibri" w:hAnsi="Calibri"/>
          <w:b/>
          <w:bCs/>
          <w:i w:val="false"/>
          <w:iCs w:val="false"/>
          <w:color w:val="0F2F51"/>
          <w:sz w:val="20"/>
          <w:szCs w:val="20"/>
        </w:rPr>
        <w:t xml:space="preserve">Q5.  </w:t>
      </w:r>
      <w:r>
        <w:rPr>
          <w:rFonts w:ascii="Calibri" w:cs="Calibri" w:eastAsia="Calibri" w:hAnsi="Calibri"/>
          <w:b/>
          <w:bCs/>
          <w:i w:val="false"/>
          <w:iCs w:val="false"/>
          <w:color w:val="0F2F51"/>
          <w:sz w:val="20"/>
          <w:szCs w:val="20"/>
        </w:rPr>
        <w:t xml:space="preserve">How far off was your last renovation from its original budget, in percentage terms and in dollars per key?</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Quantifies the pain. A number here is the ROI case in every subsequent sales conversation.</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Overruns of 15% or more, and specifically an inability to explain whether the overrun was scope, market pricing or execution. Your product answers the second of those.</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Consistently on budget. Ask how; they may have an internal dataset worth partnering on.</w:t>
      </w:r>
    </w:p>
    <w:p>
      <w:pPr>
        <w:shd w:fill="F2F2F2" w:val="clear"/>
        <w:spacing w:after="60" w:before="200"/>
      </w:pPr>
      <w:r>
        <w:rPr>
          <w:rFonts w:ascii="Calibri" w:cs="Calibri" w:eastAsia="Calibri" w:hAnsi="Calibri"/>
          <w:b/>
          <w:bCs/>
          <w:i w:val="false"/>
          <w:iCs w:val="false"/>
          <w:color w:val="0F2F51"/>
          <w:sz w:val="20"/>
          <w:szCs w:val="20"/>
        </w:rPr>
        <w:t xml:space="preserve">Q6.  </w:t>
      </w:r>
      <w:r>
        <w:rPr>
          <w:rFonts w:ascii="Calibri" w:cs="Calibri" w:eastAsia="Calibri" w:hAnsi="Calibri"/>
          <w:b/>
          <w:bCs/>
          <w:i w:val="false"/>
          <w:iCs w:val="false"/>
          <w:color w:val="0F2F51"/>
          <w:sz w:val="20"/>
          <w:szCs w:val="20"/>
        </w:rPr>
        <w:t xml:space="preserve">When you underwrite an acquisition, what do you use for the capex reserve per key, and where does that assumption come from?</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Whether the underwriting assumption is evidence-based or a rule of thumb. A rule of thumb is an unmet need with an obvious price.</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 round number such as $1,500 per key per year with no source behind it. That is an assumption nobody can defend to an investment committee.</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A detailed, sourced model. Ask to see the source.</w:t>
      </w:r>
    </w:p>
    <w:p>
      <w:pPr>
        <w:shd w:fill="F2F2F2" w:val="clear"/>
        <w:spacing w:after="60" w:before="200"/>
      </w:pPr>
      <w:r>
        <w:rPr>
          <w:rFonts w:ascii="Calibri" w:cs="Calibri" w:eastAsia="Calibri" w:hAnsi="Calibri"/>
          <w:b/>
          <w:bCs/>
          <w:i w:val="false"/>
          <w:iCs w:val="false"/>
          <w:color w:val="0F2F51"/>
          <w:sz w:val="20"/>
          <w:szCs w:val="20"/>
        </w:rPr>
        <w:t xml:space="preserve">Q7.  </w:t>
      </w:r>
      <w:r>
        <w:rPr>
          <w:rFonts w:ascii="Calibri" w:cs="Calibri" w:eastAsia="Calibri" w:hAnsi="Calibri"/>
          <w:b/>
          <w:bCs/>
          <w:i w:val="false"/>
          <w:iCs w:val="false"/>
          <w:color w:val="0F2F51"/>
          <w:sz w:val="20"/>
          <w:szCs w:val="20"/>
        </w:rPr>
        <w:t xml:space="preserve">Has a capex number ever caused you to walk away from a deal, or to reprice one? Tell me about it.</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Whether capex uncertainty carries transaction-level consequences, which is what justifies enterprise pricing rather than a tool budget.</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 specific deal and a specific dollar impact. This is the single most quotable input for a seed pitch.</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Never. Capex may be a smaller line for them than the thesis assumes.</w:t>
      </w:r>
    </w:p>
    <w:p>
      <w:pPr>
        <w:shd w:fill="F2F2F2" w:val="clear"/>
        <w:spacing w:after="60" w:before="200"/>
      </w:pPr>
      <w:r>
        <w:rPr>
          <w:rFonts w:ascii="Calibri" w:cs="Calibri" w:eastAsia="Calibri" w:hAnsi="Calibri"/>
          <w:b/>
          <w:bCs/>
          <w:i w:val="false"/>
          <w:iCs w:val="false"/>
          <w:color w:val="0F2F51"/>
          <w:sz w:val="20"/>
          <w:szCs w:val="20"/>
        </w:rPr>
        <w:t xml:space="preserve">Q8.  </w:t>
      </w:r>
      <w:r>
        <w:rPr>
          <w:rFonts w:ascii="Calibri" w:cs="Calibri" w:eastAsia="Calibri" w:hAnsi="Calibri"/>
          <w:b/>
          <w:bCs/>
          <w:i w:val="false"/>
          <w:iCs w:val="false"/>
          <w:color w:val="0F2F51"/>
          <w:sz w:val="20"/>
          <w:szCs w:val="20"/>
        </w:rPr>
        <w:t xml:space="preserve">How do you currently compare what you paid for a renovation against what your peers paid for a comparable one?</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Direct test of the benchmark gap. Phrase it neutrally so the answer is not led.</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"We do not" or "we ask around." Both confirm the gap.</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They name a working comparison method. Investigate it thoroughly.</w:t>
      </w:r>
    </w:p>
    <w:p>
      <w:pPr>
        <w:pBdr>
          <w:bottom w:val="single" w:color="D9E1F2" w:sz="10" w:space="4"/>
        </w:pBdr>
        <w:spacing w:after="120" w:before="280"/>
      </w:pPr>
      <w:r>
        <w:rPr>
          <w:rFonts w:ascii="Calibri" w:cs="Calibri" w:eastAsia="Calibri" w:hAnsi="Calibri"/>
          <w:b/>
          <w:bCs/>
          <w:i w:val="false"/>
          <w:iCs w:val="false"/>
          <w:color w:val="0F2F51"/>
          <w:sz w:val="26"/>
          <w:szCs w:val="26"/>
        </w:rPr>
        <w:t xml:space="preserve">SECTION: WILLINGNESS TO PAY</w:t>
      </w:r>
    </w:p>
    <w:p>
      <w:pPr>
        <w:shd w:fill="F2F2F2" w:val="clear"/>
        <w:spacing w:after="60" w:before="200"/>
      </w:pPr>
      <w:r>
        <w:rPr>
          <w:rFonts w:ascii="Calibri" w:cs="Calibri" w:eastAsia="Calibri" w:hAnsi="Calibri"/>
          <w:b/>
          <w:bCs/>
          <w:i w:val="false"/>
          <w:iCs w:val="false"/>
          <w:color w:val="0F2F51"/>
          <w:sz w:val="20"/>
          <w:szCs w:val="20"/>
        </w:rPr>
        <w:t xml:space="preserve">Q9.  </w:t>
      </w:r>
      <w:r>
        <w:rPr>
          <w:rFonts w:ascii="Calibri" w:cs="Calibri" w:eastAsia="Calibri" w:hAnsi="Calibri"/>
          <w:b/>
          <w:bCs/>
          <w:i w:val="false"/>
          <w:iCs w:val="false"/>
          <w:color w:val="0F2F51"/>
          <w:sz w:val="20"/>
          <w:szCs w:val="20"/>
        </w:rPr>
        <w:t xml:space="preserve">What do you spend annually today on third-party capex advice, meaning consultants, cost estimators, owner's representatives and appraisal work that touches capex?</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Establishes the existing budget line your product would displace or supplement. Anchoring against an existing spend is far more reliable than asking what they would pay.</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Any figure above $100,000 per year. Your $18,000 to $60,000 ACV then reads as a rounding error against a budget that already exists.</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Effectively zero. Either they self-perform, which is a different sale, or they are too small.</w:t>
      </w:r>
    </w:p>
    <w:p>
      <w:pPr>
        <w:shd w:fill="F2F2F2" w:val="clear"/>
        <w:spacing w:after="60" w:before="200"/>
      </w:pPr>
      <w:r>
        <w:rPr>
          <w:rFonts w:ascii="Calibri" w:cs="Calibri" w:eastAsia="Calibri" w:hAnsi="Calibri"/>
          <w:b/>
          <w:bCs/>
          <w:i w:val="false"/>
          <w:iCs w:val="false"/>
          <w:color w:val="0F2F51"/>
          <w:sz w:val="20"/>
          <w:szCs w:val="20"/>
        </w:rPr>
        <w:t xml:space="preserve">Q10.  </w:t>
      </w:r>
      <w:r>
        <w:rPr>
          <w:rFonts w:ascii="Calibri" w:cs="Calibri" w:eastAsia="Calibri" w:hAnsi="Calibri"/>
          <w:b/>
          <w:bCs/>
          <w:i w:val="false"/>
          <w:iCs w:val="false"/>
          <w:color w:val="0F2F51"/>
          <w:sz w:val="20"/>
          <w:szCs w:val="20"/>
        </w:rPr>
        <w:t xml:space="preserve">If you had cost per key for 500 comparable projects, filterable by brand, vintage, market and scope, what specific decision would you make differently tomorrow?</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Whether the product changes a decision or is merely interesting. Interesting does not renew.</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 named, recurring decision such as PIP negotiation, reserve sizing or contractor selection. Recurring is what makes it a subscription.</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"It would be good to have." That is a churn signal disguised as enthusiasm.</w:t>
      </w:r>
    </w:p>
    <w:p>
      <w:pPr>
        <w:shd w:fill="F2F2F2" w:val="clear"/>
        <w:spacing w:after="60" w:before="200"/>
      </w:pPr>
      <w:r>
        <w:rPr>
          <w:rFonts w:ascii="Calibri" w:cs="Calibri" w:eastAsia="Calibri" w:hAnsi="Calibri"/>
          <w:b/>
          <w:bCs/>
          <w:i w:val="false"/>
          <w:iCs w:val="false"/>
          <w:color w:val="0F2F51"/>
          <w:sz w:val="20"/>
          <w:szCs w:val="20"/>
        </w:rPr>
        <w:t xml:space="preserve">Q11.  </w:t>
      </w:r>
      <w:r>
        <w:rPr>
          <w:rFonts w:ascii="Calibri" w:cs="Calibri" w:eastAsia="Calibri" w:hAnsi="Calibri"/>
          <w:b/>
          <w:bCs/>
          <w:i w:val="false"/>
          <w:iCs w:val="false"/>
          <w:color w:val="0F2F51"/>
          <w:sz w:val="20"/>
          <w:szCs w:val="20"/>
        </w:rPr>
        <w:t xml:space="preserve">Who would have to approve a $40,000 annual subscription for something like this, and what would they need to see?</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Maps the buying process and the approval threshold before you have wasted a cycle on it.</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 single approver and a short list of evidence. Ask for the evidence list verbatim; it is your pilot specification.</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Committee approval with an annual budget cycle. Not disqualifying, but it lengthens the sales cycle materially and should be reflected in the CAC assumption.</w:t>
      </w:r>
    </w:p>
    <w:p>
      <w:pPr>
        <w:shd w:fill="F2F2F2" w:val="clear"/>
        <w:spacing w:after="60" w:before="200"/>
      </w:pPr>
      <w:r>
        <w:rPr>
          <w:rFonts w:ascii="Calibri" w:cs="Calibri" w:eastAsia="Calibri" w:hAnsi="Calibri"/>
          <w:b/>
          <w:bCs/>
          <w:i w:val="false"/>
          <w:iCs w:val="false"/>
          <w:color w:val="0F2F51"/>
          <w:sz w:val="20"/>
          <w:szCs w:val="20"/>
        </w:rPr>
        <w:t xml:space="preserve">Q12.  </w:t>
      </w:r>
      <w:r>
        <w:rPr>
          <w:rFonts w:ascii="Calibri" w:cs="Calibri" w:eastAsia="Calibri" w:hAnsi="Calibri"/>
          <w:b/>
          <w:bCs/>
          <w:i w:val="false"/>
          <w:iCs w:val="false"/>
          <w:color w:val="0F2F51"/>
          <w:sz w:val="20"/>
          <w:szCs w:val="20"/>
        </w:rPr>
        <w:t xml:space="preserve">If I built this by hand for you over the next 60 days, using your own portfolio's history plus whatever else I can assemble, what would make that worth paying for rather than worth reading?</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The pilot close, framed as a question rather than a pitch. This is the most important commercial question in the guide.</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Any engagement with price. Even a low counter is a validated willingness to pay.</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Deflection to "come back when it is built." Note it and move on; this is a follower, not a design partner.</w:t>
      </w:r>
    </w:p>
    <w:p>
      <w:pPr>
        <w:pBdr>
          <w:bottom w:val="single" w:color="D9E1F2" w:sz="10" w:space="4"/>
        </w:pBdr>
        <w:spacing w:after="120" w:before="280"/>
      </w:pPr>
      <w:r>
        <w:rPr>
          <w:rFonts w:ascii="Calibri" w:cs="Calibri" w:eastAsia="Calibri" w:hAnsi="Calibri"/>
          <w:b/>
          <w:bCs/>
          <w:i w:val="false"/>
          <w:iCs w:val="false"/>
          <w:color w:val="0F2F51"/>
          <w:sz w:val="26"/>
          <w:szCs w:val="26"/>
        </w:rPr>
        <w:t xml:space="preserve">SECTION: THE DATA ASK</w:t>
      </w:r>
    </w:p>
    <w:p>
      <w:pPr>
        <w:shd w:fill="F2F2F2" w:val="clear"/>
        <w:spacing w:after="60" w:before="200"/>
      </w:pPr>
      <w:r>
        <w:rPr>
          <w:rFonts w:ascii="Calibri" w:cs="Calibri" w:eastAsia="Calibri" w:hAnsi="Calibri"/>
          <w:b/>
          <w:bCs/>
          <w:i w:val="false"/>
          <w:iCs w:val="false"/>
          <w:color w:val="0F2F51"/>
          <w:sz w:val="20"/>
          <w:szCs w:val="20"/>
        </w:rPr>
        <w:t xml:space="preserve">Q13.  </w:t>
      </w:r>
      <w:r>
        <w:rPr>
          <w:rFonts w:ascii="Calibri" w:cs="Calibri" w:eastAsia="Calibri" w:hAnsi="Calibri"/>
          <w:b/>
          <w:bCs/>
          <w:i w:val="false"/>
          <w:iCs w:val="false"/>
          <w:color w:val="0F2F51"/>
          <w:sz w:val="20"/>
          <w:szCs w:val="20"/>
        </w:rPr>
        <w:t xml:space="preserve">Would you be willing to contribute your last five years of completed project costs into a pooled, anonymised benchmark, in exchange for permanent free access?</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The contributory model. Without a yes from roughly a third of the sample, the entire thesis fails and the 90 day study has done its job by telling you so.</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A conditional yes. Conditions are workable; they tell you exactly what the data agreement has to say.</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A flat no on confidentiality grounds from most respondents. Treat this as the kill criterion it is.</w:t>
      </w:r>
    </w:p>
    <w:p>
      <w:pPr>
        <w:shd w:fill="F2F2F2" w:val="clear"/>
        <w:spacing w:after="60" w:before="200"/>
      </w:pPr>
      <w:r>
        <w:rPr>
          <w:rFonts w:ascii="Calibri" w:cs="Calibri" w:eastAsia="Calibri" w:hAnsi="Calibri"/>
          <w:b/>
          <w:bCs/>
          <w:i w:val="false"/>
          <w:iCs w:val="false"/>
          <w:color w:val="0F2F51"/>
          <w:sz w:val="20"/>
          <w:szCs w:val="20"/>
        </w:rPr>
        <w:t xml:space="preserve">Q14.  </w:t>
      </w:r>
      <w:r>
        <w:rPr>
          <w:rFonts w:ascii="Calibri" w:cs="Calibri" w:eastAsia="Calibri" w:hAnsi="Calibri"/>
          <w:b/>
          <w:bCs/>
          <w:i w:val="false"/>
          <w:iCs w:val="false"/>
          <w:color w:val="0F2F51"/>
          <w:sz w:val="20"/>
          <w:szCs w:val="20"/>
        </w:rPr>
        <w:t xml:space="preserve">What would your legal or compliance team need to see before that data could leave the building?</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Surfaces the real blocker on contributory data early, while it is still cheap to design around.</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Specific, addressable requirements such as anonymisation thresholds, no property-level attribution, or a minimum peer-set size.</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"It could never leave." If this is common in the sample, the model must shift to a purchased or scraped dataset, which is a materially worse business.</w:t>
      </w:r>
    </w:p>
    <w:p>
      <w:pPr>
        <w:shd w:fill="F2F2F2" w:val="clear"/>
        <w:spacing w:after="60" w:before="200"/>
      </w:pPr>
      <w:r>
        <w:rPr>
          <w:rFonts w:ascii="Calibri" w:cs="Calibri" w:eastAsia="Calibri" w:hAnsi="Calibri"/>
          <w:b/>
          <w:bCs/>
          <w:i w:val="false"/>
          <w:iCs w:val="false"/>
          <w:color w:val="0F2F51"/>
          <w:sz w:val="20"/>
          <w:szCs w:val="20"/>
        </w:rPr>
        <w:t xml:space="preserve">Q15.  </w:t>
      </w:r>
      <w:r>
        <w:rPr>
          <w:rFonts w:ascii="Calibri" w:cs="Calibri" w:eastAsia="Calibri" w:hAnsi="Calibri"/>
          <w:b/>
          <w:bCs/>
          <w:i w:val="false"/>
          <w:iCs w:val="false"/>
          <w:color w:val="0F2F51"/>
          <w:sz w:val="20"/>
          <w:szCs w:val="20"/>
        </w:rPr>
        <w:t xml:space="preserve">In what format does that history actually exist? Is it in a system, in project close-out files, or in someone's spreadsheet?</w:t>
      </w:r>
    </w:p>
    <w:p>
      <w:pPr>
        <w:spacing w:after="50" w:before="50"/>
        <w:ind w:left="403" w:hanging="0"/>
        <w:jc w:val="both"/>
      </w:pPr>
      <w:r>
        <w:rPr>
          <w:rFonts w:ascii="Calibri" w:cs="Calibri" w:eastAsia="Calibri" w:hAnsi="Calibri"/>
          <w:b/>
          <w:bCs/>
          <w:i w:val="false"/>
          <w:iCs w:val="false"/>
          <w:color w:val="080808"/>
          <w:sz w:val="20"/>
          <w:szCs w:val="20"/>
        </w:rPr>
        <w:t xml:space="preserve">What it tests: </w:t>
      </w:r>
      <w:r>
        <w:rPr>
          <w:rFonts w:ascii="Calibri" w:cs="Calibri" w:eastAsia="Calibri" w:hAnsi="Calibri"/>
          <w:b w:val="false"/>
          <w:bCs w:val="false"/>
          <w:i w:val="false"/>
          <w:iCs w:val="false"/>
          <w:color w:val="080808"/>
          <w:sz w:val="20"/>
          <w:szCs w:val="20"/>
        </w:rPr>
        <w:t xml:space="preserve">Determines the ingestion problem and therefore what kind of engineering cofounder you need to recruit.</w:t>
      </w:r>
    </w:p>
    <w:p>
      <w:pPr>
        <w:spacing w:after="50" w:before="50"/>
        <w:ind w:left="403" w:hanging="0"/>
        <w:jc w:val="both"/>
      </w:pPr>
      <w:r>
        <w:rPr>
          <w:rFonts w:ascii="Calibri" w:cs="Calibri" w:eastAsia="Calibri" w:hAnsi="Calibri"/>
          <w:b/>
          <w:bCs/>
          <w:i w:val="false"/>
          <w:iCs w:val="false"/>
          <w:color w:val="1E7145"/>
          <w:sz w:val="20"/>
          <w:szCs w:val="20"/>
        </w:rPr>
        <w:t xml:space="preserve">Listen for: </w:t>
      </w:r>
      <w:r>
        <w:rPr>
          <w:rFonts w:ascii="Calibri" w:cs="Calibri" w:eastAsia="Calibri" w:hAnsi="Calibri"/>
          <w:b w:val="false"/>
          <w:bCs w:val="false"/>
          <w:i w:val="false"/>
          <w:iCs w:val="false"/>
          <w:color w:val="080808"/>
          <w:sz w:val="20"/>
          <w:szCs w:val="20"/>
        </w:rPr>
        <w:t xml:space="preserve">Close-out PDFs and spreadsheets. Messy, but it is exactly the problem a strong data engineer solves and it is a barrier to a casual competitor.</w:t>
      </w:r>
    </w:p>
    <w:p>
      <w:pPr>
        <w:spacing w:after="50" w:before="50"/>
        <w:ind w:left="403" w:hanging="0"/>
        <w:jc w:val="both"/>
      </w:pPr>
      <w:r>
        <w:rPr>
          <w:rFonts w:ascii="Calibri" w:cs="Calibri" w:eastAsia="Calibri" w:hAnsi="Calibri"/>
          <w:b/>
          <w:bCs/>
          <w:i w:val="false"/>
          <w:iCs w:val="false"/>
          <w:color w:val="9C2A2A"/>
          <w:sz w:val="20"/>
          <w:szCs w:val="20"/>
        </w:rPr>
        <w:t xml:space="preserve">Red flag: </w:t>
      </w:r>
      <w:r>
        <w:rPr>
          <w:rFonts w:ascii="Calibri" w:cs="Calibri" w:eastAsia="Calibri" w:hAnsi="Calibri"/>
          <w:b w:val="false"/>
          <w:bCs w:val="false"/>
          <w:i w:val="false"/>
          <w:iCs w:val="false"/>
          <w:color w:val="080808"/>
          <w:sz w:val="20"/>
          <w:szCs w:val="20"/>
        </w:rPr>
        <w:t xml:space="preserve">Clean, structured data in a system of record. Good for you, and also good for an incumbent who already integrates with that system.</w:t>
      </w:r>
    </w:p>
    <w:p>
      <w:pPr>
        <w:pBdr>
          <w:bottom w:val="single" w:color="D9E1F2" w:sz="10" w:space="4"/>
        </w:pBdr>
        <w:spacing w:after="120" w:before="280"/>
      </w:pPr>
      <w:r>
        <w:rPr>
          <w:rFonts w:ascii="Calibri" w:cs="Calibri" w:eastAsia="Calibri" w:hAnsi="Calibri"/>
          <w:b/>
          <w:bCs/>
          <w:i w:val="false"/>
          <w:iCs w:val="false"/>
          <w:color w:val="0F2F51"/>
          <w:sz w:val="26"/>
          <w:szCs w:val="26"/>
        </w:rPr>
        <w:t xml:space="preserve">THE CLOSE</w:t>
      </w:r>
    </w:p>
    <w:p>
      <w:pPr>
        <w:spacing w:after="60" w:before="60"/>
        <w:jc w:val="both"/>
      </w:pPr>
      <w:r>
        <w:rPr>
          <w:rFonts w:ascii="Calibri" w:cs="Calibri" w:eastAsia="Calibri" w:hAnsi="Calibri"/>
          <w:b w:val="false"/>
          <w:bCs w:val="false"/>
          <w:i w:val="false"/>
          <w:iCs w:val="false"/>
          <w:color w:val="080808"/>
          <w:sz w:val="20"/>
          <w:szCs w:val="20"/>
        </w:rPr>
        <w:t xml:space="preserve">Make exactly two asks, in this order, and make no third one.</w:t>
      </w:r>
    </w:p>
    <w:p>
      <w:pPr>
        <w:spacing w:after="50" w:before="50"/>
        <w:ind w:left="403" w:hanging="0"/>
        <w:jc w:val="both"/>
      </w:pPr>
      <w:r>
        <w:rPr>
          <w:rFonts w:ascii="Calibri" w:cs="Calibri" w:eastAsia="Calibri" w:hAnsi="Calibri"/>
          <w:b/>
          <w:bCs/>
          <w:i w:val="false"/>
          <w:iCs w:val="false"/>
          <w:color w:val="080808"/>
          <w:sz w:val="20"/>
          <w:szCs w:val="20"/>
        </w:rPr>
        <w:t xml:space="preserve">The referral: </w:t>
      </w:r>
      <w:r>
        <w:rPr>
          <w:rFonts w:ascii="Calibri" w:cs="Calibri" w:eastAsia="Calibri" w:hAnsi="Calibri"/>
          <w:b w:val="false"/>
          <w:bCs w:val="false"/>
          <w:i w:val="false"/>
          <w:iCs w:val="false"/>
          <w:color w:val="080808"/>
          <w:sz w:val="20"/>
          <w:szCs w:val="20"/>
        </w:rPr>
        <w:t xml:space="preserve">"Who are the two people in your network who argue about capex numbers more than you do?" This is the question that compounds. A discovery study that does not compound stalls at 8 calls.</w:t>
      </w:r>
    </w:p>
    <w:p>
      <w:pPr>
        <w:spacing w:after="50" w:before="50"/>
        <w:ind w:left="403" w:hanging="0"/>
        <w:jc w:val="both"/>
      </w:pPr>
      <w:r>
        <w:rPr>
          <w:rFonts w:ascii="Calibri" w:cs="Calibri" w:eastAsia="Calibri" w:hAnsi="Calibri"/>
          <w:b/>
          <w:bCs/>
          <w:i w:val="false"/>
          <w:iCs w:val="false"/>
          <w:color w:val="080808"/>
          <w:sz w:val="20"/>
          <w:szCs w:val="20"/>
        </w:rPr>
        <w:t xml:space="preserve">The re-contact: </w:t>
      </w:r>
      <w:r>
        <w:rPr>
          <w:rFonts w:ascii="Calibri" w:cs="Calibri" w:eastAsia="Calibri" w:hAnsi="Calibri"/>
          <w:b w:val="false"/>
          <w:bCs w:val="false"/>
          <w:i w:val="false"/>
          <w:iCs w:val="false"/>
          <w:color w:val="080808"/>
          <w:sz w:val="20"/>
          <w:szCs w:val="20"/>
        </w:rPr>
        <w:t xml:space="preserve">"If I build a first version of this using whatever data I can assemble, can I come back and show you in 60 days?" A yes here is the pilot pipeline, and it costs the respondent nothing to give.</w:t>
      </w:r>
    </w:p>
    <w:p>
      <w:pPr>
        <w:spacing w:after="60" w:before="60"/>
        <w:jc w:val="both"/>
      </w:pPr>
      <w:r>
        <w:rPr>
          <w:rFonts w:ascii="Calibri" w:cs="Calibri" w:eastAsia="Calibri" w:hAnsi="Calibri"/>
          <w:b w:val="false"/>
          <w:bCs w:val="false"/>
          <w:i w:val="false"/>
          <w:iCs w:val="false"/>
          <w:color w:val="080808"/>
          <w:sz w:val="20"/>
          <w:szCs w:val="20"/>
        </w:rPr>
        <w:t xml:space="preserve">Do not ask for the data on the first call. Question 13 tests willingness in principle, and the actual request belongs in the second conversation once you have something to show. Asking on the first call converts a research conversation into a sales conversation and loses both.</w:t>
      </w:r>
    </w:p>
    <w:p>
      <w:pPr>
        <w:pBdr>
          <w:bottom w:val="single" w:color="D9E1F2" w:sz="10" w:space="4"/>
        </w:pBdr>
        <w:spacing w:after="120" w:before="280"/>
      </w:pPr>
      <w:r>
        <w:rPr>
          <w:rFonts w:ascii="Calibri" w:cs="Calibri" w:eastAsia="Calibri" w:hAnsi="Calibri"/>
          <w:b/>
          <w:bCs/>
          <w:i w:val="false"/>
          <w:iCs w:val="false"/>
          <w:color w:val="0F2F51"/>
          <w:sz w:val="26"/>
          <w:szCs w:val="26"/>
        </w:rPr>
        <w:t xml:space="preserve">SCORING THE STUDY</w:t>
      </w:r>
    </w:p>
    <w:p>
      <w:pPr>
        <w:spacing w:after="60" w:before="60"/>
        <w:jc w:val="both"/>
      </w:pPr>
      <w:r>
        <w:rPr>
          <w:rFonts w:ascii="Calibri" w:cs="Calibri" w:eastAsia="Calibri" w:hAnsi="Calibri"/>
          <w:b w:val="false"/>
          <w:bCs w:val="false"/>
          <w:i w:val="false"/>
          <w:iCs w:val="false"/>
          <w:color w:val="080808"/>
          <w:sz w:val="20"/>
          <w:szCs w:val="20"/>
        </w:rPr>
        <w:t xml:space="preserve">Score each completed call on the four criteria below. The study answers the go or no-go question in aggregate, and no single enthusiastic call should be allowed to override the pattern.</w:t>
      </w:r>
    </w:p>
    <w:tbl>
      <w:tblPr>
        <w:tblW w:type="dxa" w:w="10080"/>
        <w:tblBorders>
          <w:top w:val="none"/>
          <w:left w:val="none"/>
          <w:bottom w:val="none"/>
          <w:right w:val="none"/>
          <w:insideH w:val="none"/>
          <w:insideV w:val="none"/>
        </w:tblBorders>
      </w:tblPr>
      <w:tblGrid>
        <w:gridCol w:w="4200"/>
        <w:gridCol w:w="3880"/>
        <w:gridCol w:w="2000"/>
      </w:tblGrid>
      <w:tr>
        <w:trPr>
          <w:tblHeader/>
        </w:trPr>
        <w:tc>
          <w:tcPr>
            <w:tcW w:type="dxa" w:w="4200"/>
            <w:shd w:fill="0F2F51" w:val="clear"/>
            <w:tcMar>
              <w:top w:type="dxa" w:w="60"/>
              <w:left w:type="dxa" w:w="90"/>
              <w:bottom w:type="dxa" w:w="60"/>
              <w:right w:type="dxa" w:w="90"/>
            </w:tcMar>
          </w:tcPr>
          <w:p>
            <w:pPr>
              <w:jc w:val="left"/>
            </w:pPr>
            <w:r>
              <w:rPr>
                <w:rFonts w:ascii="Calibri" w:cs="Calibri" w:eastAsia="Calibri" w:hAnsi="Calibri"/>
                <w:b/>
                <w:bCs/>
                <w:i w:val="false"/>
                <w:iCs w:val="false"/>
                <w:color w:val="FFFFFF"/>
                <w:sz w:val="19"/>
                <w:szCs w:val="19"/>
              </w:rPr>
              <w:t xml:space="preserve">Criterion</w:t>
            </w:r>
          </w:p>
        </w:tc>
        <w:tc>
          <w:tcPr>
            <w:tcW w:type="dxa" w:w="3880"/>
            <w:shd w:fill="0F2F51" w:val="clear"/>
            <w:tcMar>
              <w:top w:type="dxa" w:w="60"/>
              <w:left w:type="dxa" w:w="90"/>
              <w:bottom w:type="dxa" w:w="60"/>
              <w:right w:type="dxa" w:w="90"/>
            </w:tcMar>
          </w:tcPr>
          <w:p>
            <w:pPr>
              <w:jc w:val="center"/>
            </w:pPr>
            <w:r>
              <w:rPr>
                <w:rFonts w:ascii="Calibri" w:cs="Calibri" w:eastAsia="Calibri" w:hAnsi="Calibri"/>
                <w:b/>
                <w:bCs/>
                <w:i w:val="false"/>
                <w:iCs w:val="false"/>
                <w:color w:val="FFFFFF"/>
                <w:sz w:val="19"/>
                <w:szCs w:val="19"/>
              </w:rPr>
              <w:t xml:space="preserve">Threshold to Proceed</w:t>
            </w:r>
          </w:p>
        </w:tc>
        <w:tc>
          <w:tcPr>
            <w:tcW w:type="dxa" w:w="2000"/>
            <w:shd w:fill="0F2F51" w:val="clear"/>
            <w:tcMar>
              <w:top w:type="dxa" w:w="60"/>
              <w:left w:type="dxa" w:w="90"/>
              <w:bottom w:type="dxa" w:w="60"/>
              <w:right w:type="dxa" w:w="90"/>
            </w:tcMar>
          </w:tcPr>
          <w:p>
            <w:pPr>
              <w:jc w:val="center"/>
            </w:pPr>
            <w:r>
              <w:rPr>
                <w:rFonts w:ascii="Calibri" w:cs="Calibri" w:eastAsia="Calibri" w:hAnsi="Calibri"/>
                <w:b/>
                <w:bCs/>
                <w:i w:val="false"/>
                <w:iCs w:val="false"/>
                <w:color w:val="FFFFFF"/>
                <w:sz w:val="19"/>
                <w:szCs w:val="19"/>
              </w:rPr>
              <w:t xml:space="preserve">Source Question</w:t>
            </w:r>
          </w:p>
        </w:tc>
      </w:tr>
      <w:tr>
        <w:tc>
          <w:tcPr>
            <w:tcW w:type="dxa" w:w="4200"/>
            <w:shd w:fill="FFFFFF"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Manual benchmarking is the status quo</w:t>
            </w:r>
          </w:p>
        </w:tc>
        <w:tc>
          <w:tcPr>
            <w:tcW w:type="dxa" w:w="3880"/>
            <w:shd w:fill="E2EFDA"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12 of 15 describe calling peers, brokers or contractors</w:t>
            </w:r>
          </w:p>
        </w:tc>
        <w:tc>
          <w:tcPr>
            <w:tcW w:type="dxa" w:w="2000"/>
            <w:shd w:fill="FFFFFF"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Q4 and Q8</w:t>
            </w:r>
          </w:p>
        </w:tc>
      </w:tr>
      <w:tr>
        <w:tc>
          <w:tcPr>
            <w:tcW w:type="dxa" w:w="4200"/>
            <w:shd w:fill="F2F2F2"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Capex uncertainty has deal-level consequences</w:t>
            </w:r>
          </w:p>
        </w:tc>
        <w:tc>
          <w:tcPr>
            <w:tcW w:type="dxa" w:w="3880"/>
            <w:shd w:fill="E2EFDA"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8 of 15 can name a repriced or abandoned deal</w:t>
            </w:r>
          </w:p>
        </w:tc>
        <w:tc>
          <w:tcPr>
            <w:tcW w:type="dxa" w:w="2000"/>
            <w:shd w:fill="F2F2F2"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Q7</w:t>
            </w:r>
          </w:p>
        </w:tc>
      </w:tr>
      <w:tr>
        <w:tc>
          <w:tcPr>
            <w:tcW w:type="dxa" w:w="4200"/>
            <w:shd w:fill="FFFFFF"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An existing third-party budget exists</w:t>
            </w:r>
          </w:p>
        </w:tc>
        <w:tc>
          <w:tcPr>
            <w:tcW w:type="dxa" w:w="3880"/>
            <w:shd w:fill="E2EFDA"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10 of 15 spend over $100,000 per year on capex advice</w:t>
            </w:r>
          </w:p>
        </w:tc>
        <w:tc>
          <w:tcPr>
            <w:tcW w:type="dxa" w:w="2000"/>
            <w:shd w:fill="FFFFFF"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Q9</w:t>
            </w:r>
          </w:p>
        </w:tc>
      </w:tr>
      <w:tr>
        <w:tc>
          <w:tcPr>
            <w:tcW w:type="dxa" w:w="4200"/>
            <w:shd w:fill="F2F2F2" w:val="clear"/>
            <w:tcMar>
              <w:top w:type="dxa" w:w="60"/>
              <w:left w:type="dxa" w:w="90"/>
              <w:bottom w:type="dxa" w:w="60"/>
              <w:right w:type="dxa" w:w="90"/>
            </w:tcMar>
          </w:tcPr>
          <w:p>
            <w:pPr>
              <w:jc w:val="left"/>
            </w:pPr>
            <w:r>
              <w:rPr>
                <w:rFonts w:ascii="Calibri" w:cs="Calibri" w:eastAsia="Calibri" w:hAnsi="Calibri"/>
                <w:b w:val="false"/>
                <w:bCs w:val="false"/>
                <w:i w:val="false"/>
                <w:iCs w:val="false"/>
                <w:color w:val="080808"/>
                <w:sz w:val="19"/>
                <w:szCs w:val="19"/>
              </w:rPr>
              <w:t xml:space="preserve">Contributory data is achievable</w:t>
            </w:r>
          </w:p>
        </w:tc>
        <w:tc>
          <w:tcPr>
            <w:tcW w:type="dxa" w:w="3880"/>
            <w:shd w:fill="F2DCDB"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5 of 15 give a yes or a conditional yes</w:t>
            </w:r>
          </w:p>
        </w:tc>
        <w:tc>
          <w:tcPr>
            <w:tcW w:type="dxa" w:w="2000"/>
            <w:shd w:fill="F2F2F2" w:val="clear"/>
            <w:tcMar>
              <w:top w:type="dxa" w:w="60"/>
              <w:left w:type="dxa" w:w="90"/>
              <w:bottom w:type="dxa" w:w="60"/>
              <w:right w:type="dxa" w:w="90"/>
            </w:tcMar>
          </w:tcPr>
          <w:p>
            <w:pPr>
              <w:jc w:val="center"/>
            </w:pPr>
            <w:r>
              <w:rPr>
                <w:rFonts w:ascii="Calibri" w:cs="Calibri" w:eastAsia="Calibri" w:hAnsi="Calibri"/>
                <w:b w:val="false"/>
                <w:bCs w:val="false"/>
                <w:i w:val="false"/>
                <w:iCs w:val="false"/>
                <w:color w:val="080808"/>
                <w:sz w:val="19"/>
                <w:szCs w:val="19"/>
              </w:rPr>
              <w:t xml:space="preserve">Q13</w:t>
            </w:r>
          </w:p>
        </w:tc>
      </w:tr>
    </w:tbl>
    <w:p>
      <w:pPr>
        <w:spacing w:after="120" w:before="120"/>
      </w:pPr>
      <w:r>
        <w:rPr>
          <w:rFonts w:ascii="Calibri" w:cs="Calibri" w:eastAsia="Calibri" w:hAnsi="Calibri"/>
          <w:b w:val="false"/>
          <w:bCs w:val="false"/>
          <w:i/>
          <w:iCs/>
          <w:color w:val="9AA0A8"/>
          <w:sz w:val="14"/>
          <w:szCs w:val="14"/>
        </w:rPr>
        <w:t xml:space="preserve">Note: the fourth criterion is shaded as the binding constraint. The first three can each be true while the business remains unbuildable, because a benchmark with no contributors is a consulting practice rather than a data product. If fewer than 5 of 15 will contribute data, stop and reconsider the mid-market owner reporting adjacency instead.</w:t>
      </w:r>
    </w:p>
    <w:p>
      <w:pPr>
        <w:pBdr>
          <w:bottom w:val="single" w:color="D9E1F2" w:sz="10" w:space="4"/>
        </w:pBdr>
        <w:spacing w:after="120" w:before="280"/>
      </w:pPr>
      <w:r>
        <w:rPr>
          <w:rFonts w:ascii="Calibri" w:cs="Calibri" w:eastAsia="Calibri" w:hAnsi="Calibri"/>
          <w:b/>
          <w:bCs/>
          <w:i w:val="false"/>
          <w:iCs w:val="false"/>
          <w:color w:val="0F2F51"/>
          <w:sz w:val="26"/>
          <w:szCs w:val="26"/>
        </w:rPr>
        <w:t xml:space="preserve">THREE THINGS NOT TO DO</w:t>
      </w:r>
    </w:p>
    <w:p>
      <w:pPr>
        <w:spacing w:after="50" w:before="50"/>
        <w:ind w:left="403" w:hanging="0"/>
        <w:jc w:val="both"/>
      </w:pPr>
      <w:r>
        <w:rPr>
          <w:rFonts w:ascii="Calibri" w:cs="Calibri" w:eastAsia="Calibri" w:hAnsi="Calibri"/>
          <w:b/>
          <w:bCs/>
          <w:i w:val="false"/>
          <w:iCs w:val="false"/>
          <w:color w:val="080808"/>
          <w:sz w:val="20"/>
          <w:szCs w:val="20"/>
        </w:rPr>
        <w:t xml:space="preserve">Do not show a mockup in the first 10 calls: </w:t>
      </w:r>
      <w:r>
        <w:rPr>
          <w:rFonts w:ascii="Calibri" w:cs="Calibri" w:eastAsia="Calibri" w:hAnsi="Calibri"/>
          <w:b w:val="false"/>
          <w:bCs w:val="false"/>
          <w:i w:val="false"/>
          <w:iCs w:val="false"/>
          <w:color w:val="080808"/>
          <w:sz w:val="20"/>
          <w:szCs w:val="20"/>
        </w:rPr>
        <w:t xml:space="preserve">a visual anchors the respondent to your solution and stops them describing their problem. Show it from call 11 onward, once the problem language has stabilised.</w:t>
      </w:r>
    </w:p>
    <w:p>
      <w:pPr>
        <w:spacing w:after="50" w:before="50"/>
        <w:ind w:left="403" w:hanging="0"/>
        <w:jc w:val="both"/>
      </w:pPr>
      <w:r>
        <w:rPr>
          <w:rFonts w:ascii="Calibri" w:cs="Calibri" w:eastAsia="Calibri" w:hAnsi="Calibri"/>
          <w:b/>
          <w:bCs/>
          <w:i w:val="false"/>
          <w:iCs w:val="false"/>
          <w:color w:val="080808"/>
          <w:sz w:val="20"/>
          <w:szCs w:val="20"/>
        </w:rPr>
        <w:t xml:space="preserve">Do not use anything you have seen at work: </w:t>
      </w:r>
      <w:r>
        <w:rPr>
          <w:rFonts w:ascii="Calibri" w:cs="Calibri" w:eastAsia="Calibri" w:hAnsi="Calibri"/>
          <w:b w:val="false"/>
          <w:bCs w:val="false"/>
          <w:i w:val="false"/>
          <w:iCs w:val="false"/>
          <w:color w:val="080808"/>
          <w:sz w:val="20"/>
          <w:szCs w:val="20"/>
        </w:rPr>
        <w:t xml:space="preserve">every portfolio fact, contact and cost figure in this study must be sourced in your own name with explicit permission. A dataset with a contaminated origin is not financeable, and the contamination is not reversible after the fact.</w:t>
      </w:r>
    </w:p>
    <w:p>
      <w:pPr>
        <w:spacing w:after="50" w:before="50"/>
        <w:ind w:left="403" w:hanging="0"/>
        <w:jc w:val="both"/>
      </w:pPr>
      <w:r>
        <w:rPr>
          <w:rFonts w:ascii="Calibri" w:cs="Calibri" w:eastAsia="Calibri" w:hAnsi="Calibri"/>
          <w:b/>
          <w:bCs/>
          <w:i w:val="false"/>
          <w:iCs w:val="false"/>
          <w:color w:val="080808"/>
          <w:sz w:val="20"/>
          <w:szCs w:val="20"/>
        </w:rPr>
        <w:t xml:space="preserve">Do not count enthusiasm as validation: </w:t>
      </w:r>
      <w:r>
        <w:rPr>
          <w:rFonts w:ascii="Calibri" w:cs="Calibri" w:eastAsia="Calibri" w:hAnsi="Calibri"/>
          <w:b w:val="false"/>
          <w:bCs w:val="false"/>
          <w:i w:val="false"/>
          <w:iCs w:val="false"/>
          <w:color w:val="080808"/>
          <w:sz w:val="20"/>
          <w:szCs w:val="20"/>
        </w:rPr>
        <w:t xml:space="preserve">the only validating answers in this guide are a dollar figure at Q9, a named decision at Q10, a price engagement at Q12 and a yes at Q13. Everything else is context.</w:t>
      </w:r>
    </w:p>
    <w:p>
      <w:pPr>
        <w:pBdr>
          <w:top w:val="single" w:color="005587" w:sz="6" w:space="4"/>
        </w:pBdr>
        <w:spacing w:before="300"/>
      </w:pPr>
      <w:r>
        <w:rPr>
          <w:rFonts w:ascii="Calibri" w:cs="Calibri" w:eastAsia="Calibri" w:hAnsi="Calibri"/>
          <w:b w:val="false"/>
          <w:bCs w:val="false"/>
          <w:i/>
          <w:iCs/>
          <w:color w:val="9AA0A8"/>
          <w:sz w:val="14"/>
          <w:szCs w:val="14"/>
        </w:rPr>
        <w:t xml:space="preserve">Private and confidential. Prepared 10 September 2026. Companion to the venture model workbook and cofounder deck.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8080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2026-09-10T13:58:53.605Z</dcterms:created>
  <dcterms:modified xsi:type="dcterms:W3CDTF">2026-09-10T13:58:53.605Z</dcterms:modified>
</cp:coreProperties>
</file>

<file path=docProps/custom.xml><?xml version="1.0" encoding="utf-8"?>
<Properties xmlns="http://schemas.openxmlformats.org/officeDocument/2006/custom-properties" xmlns:vt="http://schemas.openxmlformats.org/officeDocument/2006/docPropsVTypes"/>
</file>