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Backorder Risk for SAP Order Lines</w:t>
      </w:r>
    </w:p>
    <w:p>
      <w:pPr>
        <w:pStyle w:val="Subtitle"/>
      </w:pPr>
      <w:r>
        <w:t xml:space="preserve">Order-Time Classification and Honest Temporal Evaluation</w:t>
      </w:r>
    </w:p>
    <w:p>
      <w:pPr>
        <w:pStyle w:val="Author"/>
      </w:pPr>
      <w:r>
        <w:t xml:space="preserve">Addy Cruz</w:t>
      </w:r>
    </w:p>
    <w:p>
      <w:pPr>
        <w:pStyle w:val="Date"/>
      </w:pPr>
      <w:r>
        <w:t xml:space="preserve">2026-05-05</w:t>
      </w:r>
    </w:p>
    <w:bookmarkStart w:id="20" w:name="abstract"/>
    <w:p>
      <w:pPr>
        <w:pStyle w:val="Heading1"/>
      </w:pPr>
      <w:r>
        <w:t xml:space="preserve">Abstract</w:t>
      </w:r>
    </w:p>
    <w:p>
      <w:pPr>
        <w:pStyle w:val="FirstParagraph"/>
      </w:pPr>
      <w:r>
        <w:t xml:space="preserve">Supply and fulfillment teams lose service level and margin when order lines backorder. This capstone trains a binary risk model for SAP-style order lines using only the information available at the moment the order is placed, so the label is not contaminated by downstream inventory snapshots that would leak information about the outcome. Models are selected on inner temporal validation inside the training window and frozen before scoring an outer temporal holdout that simulates a forward-time deployment. The rule-selected champion (an out-of-fold calibrated stacking ensemble) reaches ROC-AUC 0.936 and PR-AUC 0.326 on the holdout. A simpler logistic-regression baseline is the strongest deployable single model, with F1 0.511 and a 40x lift in PR-AUC over a random classifier. Both models clear the precision and recall floors of the deployment policy. The overall release gate still returns NO-GO, blocked by a label-maturity check rather than by model quality: the most recent 180 days of training data carry only 36 percent label coverage and 32 confirmed positives, below the 50 percent and 40-positive thresholds that the protocol requires for a release. Reporting the NO-GO honestly is part of the result, not something to hide.</w:t>
      </w:r>
    </w:p>
    <w:bookmarkEnd w:id="20"/>
    <w:bookmarkStart w:id="23" w:name="introduction"/>
    <w:p>
      <w:pPr>
        <w:pStyle w:val="Heading1"/>
      </w:pPr>
      <w:r>
        <w:t xml:space="preserve">Introduction</w:t>
      </w:r>
    </w:p>
    <w:p>
      <w:pPr>
        <w:pStyle w:val="FirstParagraph"/>
      </w:pPr>
      <w:r>
        <w:t xml:space="preserve">Operations and sales teams running on SAP or comparable ERP systems process large volumes of order lines every day. A meaningful share of those lines stall into backorder, eroding service level, revenue, and planner attention. A model that flags lines at risk of backordering at the moment of order entry is therefore directly useful, but only if the predictions are scored under conditions that mimic deployment.</w:t>
      </w:r>
    </w:p>
    <w:p>
      <w:pPr>
        <w:pStyle w:val="BodyText"/>
      </w:pPr>
      <w:r>
        <w:t xml:space="preserve">The discipline this capstone enforces is simple to state and easy to violate. Features that only become available after the order is placed (for example, live outstanding quantity or saleable stock immediately before shipment) can make a model look excellent while quietly leaking the answer.</w:t>
      </w:r>
      <w:r>
        <w:rPr>
          <w:rStyle w:val="FootnoteReference"/>
        </w:rPr>
        <w:footnoteReference w:id="21"/>
      </w:r>
      <w:r>
        <w:t xml:space="preserve"> </w:t>
      </w:r>
      <w:r>
        <w:t xml:space="preserve">To prevent that, this work standardizes a v2 order-time table at the (client, sales document, item) grain, defines a single binary target</w:t>
      </w:r>
      <w:r>
        <w:t xml:space="preserve"> </w:t>
      </w:r>
      <w:r>
        <w:rPr>
          <w:rStyle w:val="VerbatimChar"/>
        </w:rPr>
        <w:t xml:space="preserve">target_backorder_risk</w:t>
      </w:r>
      <w:r>
        <w:t xml:space="preserve">, and evaluates every model with a time-based split: train on older orders, test on later orders. Roughly 3.4 percent of order lines carry confirmed backorder risk under this label, with the remainder split between confirmed-not-at-risk and unresolved cases that are excluded from the modeling label.</w:t>
      </w:r>
    </w:p>
    <w:bookmarkStart w:id="22" w:name="research-question"/>
    <w:p>
      <w:pPr>
        <w:pStyle w:val="Heading2"/>
      </w:pPr>
      <w:r>
        <w:t xml:space="preserve">Research Question</w:t>
      </w:r>
    </w:p>
    <w:p>
      <w:pPr>
        <w:pStyle w:val="FirstParagraph"/>
      </w:pPr>
      <w:r>
        <w:t xml:space="preserve">The project asks one question:</w:t>
      </w:r>
    </w:p>
    <w:p>
      <w:pPr>
        <w:pStyle w:val="BodyText"/>
      </w:pPr>
      <w:r>
        <w:rPr>
          <w:b/>
          <w:bCs/>
        </w:rPr>
        <w:t xml:space="preserve">Q1.</w:t>
      </w:r>
      <w:r>
        <w:t xml:space="preserve"> </w:t>
      </w:r>
      <w:r>
        <w:t xml:space="preserve">Can order-time features predict whether an order line will backorder, under a temporal split that approximates predicting the future from the past?</w:t>
      </w:r>
    </w:p>
    <w:p>
      <w:pPr>
        <w:pStyle w:val="BodyText"/>
      </w:pPr>
      <w:r>
        <w:t xml:space="preserve">The headline capstone result is the answer to Q1 and the honest deployment readout that follows from it.</w:t>
      </w:r>
    </w:p>
    <w:bookmarkEnd w:id="22"/>
    <w:bookmarkEnd w:id="23"/>
    <w:bookmarkStart w:id="24" w:name="industry-or-organization-partner"/>
    <w:p>
      <w:pPr>
        <w:pStyle w:val="Heading1"/>
      </w:pPr>
      <w:r>
        <w:t xml:space="preserve">Industry or Organization Partner</w:t>
      </w:r>
    </w:p>
    <w:p>
      <w:pPr>
        <w:pStyle w:val="FirstParagraph"/>
      </w:pPr>
      <w:r>
        <w:t xml:space="preserve">This capstone is implemented as a reproducible academic pipeline in a version-controlled repository. There is no formal industry liaison and no live production deployment. The work uses SAP-style order, material, and fulfillment data processed in-house to match capstone requirements. The dataset originated from the proposal-stage public SAP/Kaggle materials, with field semantics aligned to the SAP SD and MM reference</w:t>
      </w:r>
      <w:r>
        <w:t xml:space="preserve"> </w:t>
      </w:r>
      <w:r>
        <w:t xml:space="preserve">(SAP SE 2024)</w:t>
      </w:r>
      <w:r>
        <w:t xml:space="preserve">; the version of truth for modeling is the pipeline-built table</w:t>
      </w:r>
      <w:r>
        <w:t xml:space="preserve"> </w:t>
      </w:r>
      <w:r>
        <w:rPr>
          <w:rStyle w:val="VerbatimChar"/>
        </w:rPr>
        <w:t xml:space="preserve">master_order_fulfillment_modeling_v2_ordertime.csv</w:t>
      </w:r>
      <w:r>
        <w:t xml:space="preserve">, not a named partner system. The deployment gate in this report should therefore be read as a governance rehearsal, not as a release decision binding any external organization.</w:t>
      </w:r>
    </w:p>
    <w:bookmarkEnd w:id="24"/>
    <w:bookmarkStart w:id="32" w:name="methods"/>
    <w:p>
      <w:pPr>
        <w:pStyle w:val="Heading1"/>
      </w:pPr>
      <w:r>
        <w:t xml:space="preserve">Methods</w:t>
      </w:r>
    </w:p>
    <w:bookmarkStart w:id="26" w:name="data-and-grain"/>
    <w:p>
      <w:pPr>
        <w:pStyle w:val="Heading2"/>
      </w:pPr>
      <w:r>
        <w:t xml:space="preserve">Data and grain</w:t>
      </w:r>
    </w:p>
    <w:p>
      <w:pPr>
        <w:pStyle w:val="FirstParagraph"/>
      </w:pPr>
      <w:r>
        <w:t xml:space="preserve">The official modeling set contains 31,177 rows at one row per order line, with positive rate 3.38 percent for the binary target</w:t>
      </w:r>
      <w:r>
        <w:t xml:space="preserve"> </w:t>
      </w:r>
      <w:r>
        <w:rPr>
          <w:rStyle w:val="VerbatimChar"/>
        </w:rPr>
        <w:t xml:space="preserve">target_backorder_risk</w:t>
      </w:r>
      <w:r>
        <w:t xml:space="preserve">.</w:t>
      </w:r>
      <w:r>
        <w:rPr>
          <w:rStyle w:val="FootnoteReference"/>
        </w:rPr>
        <w:footnoteReference w:id="25"/>
      </w:r>
      <w:r>
        <w:t xml:space="preserve"> </w:t>
      </w:r>
      <w:r>
        <w:t xml:space="preserve">Numeric features at order time include cumulative order and confirmed quantities, net order value, requested lead time, and simple calendar features such as month, weekday, and quarter. Categorical features include client code, item category, sales organization, division, plant, and country. Missingness indicators are engineered for each numeric feature and treated as additional inputs. A long list of excluded post-event columns (for example, outstanding quantity, saleable inventory, and downstream status fields) is persisted in the same metrics JSON so the leakage policy is auditable rather than implicit.</w:t>
      </w:r>
    </w:p>
    <w:p>
      <w:pPr>
        <w:pStyle w:val="BodyText"/>
      </w:pPr>
      <w:r>
        <w:rPr>
          <w:b/>
          <w:bCs/>
        </w:rPr>
        <w:t xml:space="preserve">What leakage looked like.</w:t>
      </w:r>
      <w:r>
        <w:t xml:space="preserve"> </w:t>
      </w:r>
      <w:r>
        <w:t xml:space="preserve">A parallel</w:t>
      </w:r>
      <w:r>
        <w:t xml:space="preserve"> </w:t>
      </w:r>
      <w:r>
        <w:t xml:space="preserve"> </w:t>
      </w:r>
      <w:r>
        <w:t xml:space="preserve">table that includes the post-event columns reaches ROC-AUC near 0.99 and an F1 of 1.0 from a one-line rule (</w:t>
      </w:r>
      <w:r>
        <w:t xml:space="preserve">). That model is useless: by the time those values are observable, the order has already either shipped or backordered, and the prediction has nothing to predict. The order-time table reported throughout this paper is the only honest framing.</w:t>
      </w:r>
    </w:p>
    <w:bookmarkEnd w:id="26"/>
    <w:bookmarkStart w:id="28" w:name="model-zoo-and-selection-rule"/>
    <w:p>
      <w:pPr>
        <w:pStyle w:val="Heading2"/>
      </w:pPr>
      <w:r>
        <w:t xml:space="preserve">Model zoo and selection rule</w:t>
      </w:r>
    </w:p>
    <w:p>
      <w:pPr>
        <w:pStyle w:val="FirstParagraph"/>
      </w:pPr>
      <w:r>
        <w:t xml:space="preserve">The comparison includes logistic regression as a linear baseline, three gradient-boosted tree learners (XGBoost, LightGBM, CatBoost), a random forest, a k-nearest-neighbor learner, two soft-voting ensembles, and an out-of-fold (OOF) calibrated stacking ensemble whose meta-learner is logistic regression on five-fold OOF base predictions. The stacking ensemble’s pruning rule keeps base learners with OOF PR-AUC above 0.06; in the final run, this retains logistic regression, LightGBM, random forest, and kNN.</w:t>
      </w:r>
    </w:p>
    <w:p>
      <w:pPr>
        <w:pStyle w:val="BodyText"/>
      </w:pPr>
      <w:r>
        <w:t xml:space="preserve">The selection rule is fixed before any holdout score is examined. The champion is the model that wins inner temporal validation on the training-window rows alone.</w:t>
      </w:r>
      <w:r>
        <w:rPr>
          <w:rStyle w:val="FootnoteReference"/>
        </w:rPr>
        <w:footnoteReference w:id="27"/>
      </w:r>
      <w:r>
        <w:t xml:space="preserve"> </w:t>
      </w:r>
      <w:r>
        <w:t xml:space="preserve">That choice is then frozen and reported on the outer temporal holdout. Choosing the model from holdout performance is forbidden by the protocol</w:t>
      </w:r>
      <w:r>
        <w:t xml:space="preserve"> </w:t>
      </w:r>
      <w:r>
        <w:t xml:space="preserve">(Wolpert 1992)</w:t>
      </w:r>
      <w:r>
        <w:t xml:space="preserve">, and the final crown is recorded in</w:t>
      </w:r>
      <w:r>
        <w:t xml:space="preserve"> </w:t>
      </w:r>
      <w:r>
        <w:rPr>
          <w:rStyle w:val="VerbatimChar"/>
        </w:rPr>
        <w:t xml:space="preserve">selected_model.selection_basis</w:t>
      </w:r>
      <w:r>
        <w:t xml:space="preserve"> </w:t>
      </w:r>
      <w:r>
        <w:t xml:space="preserve">of the metrics JSON. The current champion is</w:t>
      </w:r>
      <w:r>
        <w:t xml:space="preserve"> </w:t>
      </w:r>
      <w:r>
        <w:rPr>
          <w:rStyle w:val="VerbatimChar"/>
        </w:rPr>
        <w:t xml:space="preserve">oof_calibrated_stack</w:t>
      </w:r>
      <w:r>
        <w:t xml:space="preserve">.</w:t>
      </w:r>
    </w:p>
    <w:bookmarkEnd w:id="28"/>
    <w:bookmarkStart w:id="29" w:name="hyperparameter-tuning"/>
    <w:p>
      <w:pPr>
        <w:pStyle w:val="Heading2"/>
      </w:pPr>
      <w:r>
        <w:t xml:space="preserve">Hyperparameter tuning</w:t>
      </w:r>
    </w:p>
    <w:p>
      <w:pPr>
        <w:pStyle w:val="FirstParagraph"/>
      </w:pPr>
      <w:r>
        <w:t xml:space="preserve">Tunable learners are tuned with a multi-phase grid search over a temporal expanding-window split (three folds, PR-AUC objective) on the training rows only. The search never sees the outer holdout. Selected configurations (</w:t>
      </w:r>
      <w:r>
        <w:t xml:space="preserve">) are persisted in</w:t>
      </w:r>
      <w:r>
        <w:t xml:space="preserve"> </w:t>
      </w:r>
      <w:r>
        <w:rPr>
          <w:rStyle w:val="VerbatimChar"/>
        </w:rPr>
        <w:t xml:space="preserve">models/hyperparameters_tuned_v2_ordertime.json</w:t>
      </w:r>
      <w:r>
        <w:t xml:space="preserve"> </w:t>
      </w:r>
      <w:r>
        <w:t xml:space="preserve">and read by the pipeline at fit time, so results are reproducible without manual re-entry. kNN is left untuned because its performance is dominated by feature-space geometry rather than by hyperparameter shape on this data.</w:t>
      </w:r>
    </w:p>
    <w:bookmarkEnd w:id="29"/>
    <w:bookmarkStart w:id="30" w:name="notation"/>
    <w:p>
      <w:pPr>
        <w:pStyle w:val="Heading2"/>
      </w:pPr>
      <w:r>
        <w:t xml:space="preserve">Notation</w:t>
      </w:r>
    </w:p>
    <w:p>
      <w:pPr>
        <w:pStyle w:val="FirstParagraph"/>
      </w:pPr>
      <w:r>
        <w:t xml:space="preserve">Let</w:t>
      </w:r>
      <w:r>
        <w:t xml:space="preserve"> </w:t>
      </w:r>
      <m:oMath>
        <m:r>
          <m:t>y</m:t>
        </m:r>
      </m:oMath>
      <w:r>
        <w:t xml:space="preserve"> </w:t>
      </w:r>
      <w:r>
        <w:t xml:space="preserve">be a Bernoulli random variable in</w:t>
      </w:r>
      <w:r>
        <w:t xml:space="preserve"> </w:t>
      </w:r>
      <m:oMath>
        <m:r>
          <m:rPr>
            <m:sty m:val="p"/>
          </m:rPr>
          <m:t>{</m:t>
        </m:r>
        <m:r>
          <m:t>0</m:t>
        </m:r>
        <m:r>
          <m:rPr>
            <m:sty m:val="p"/>
          </m:rPr>
          <m:t>,</m:t>
        </m:r>
        <m:r>
          <m:t>1</m:t>
        </m:r>
        <m:r>
          <m:rPr>
            <m:sty m:val="p"/>
          </m:rPr>
          <m:t>}</m:t>
        </m:r>
      </m:oMath>
      <w:r>
        <w:t xml:space="preserve"> </w:t>
      </w:r>
      <w:r>
        <w:t xml:space="preserve">at the order-line grain, with</w:t>
      </w:r>
      <w:r>
        <w:t xml:space="preserve"> </w:t>
      </w:r>
      <m:oMath>
        <m:r>
          <m:t>y</m:t>
        </m:r>
        <m:r>
          <m:rPr>
            <m:sty m:val="p"/>
          </m:rPr>
          <m:t>=</m:t>
        </m:r>
        <m:r>
          <m:t>1</m:t>
        </m:r>
      </m:oMath>
      <w:r>
        <w:t xml:space="preserve"> </w:t>
      </w:r>
      <w:r>
        <w:t xml:space="preserve">denoting confirmed backorder risk under the v2 label definition and</w:t>
      </w:r>
      <w:r>
        <w:t xml:space="preserve"> </w:t>
      </w:r>
      <m:oMath>
        <m:r>
          <m:t>y</m:t>
        </m:r>
        <m:r>
          <m:rPr>
            <m:sty m:val="p"/>
          </m:rPr>
          <m:t>=</m:t>
        </m:r>
        <m:r>
          <m:t>0</m:t>
        </m:r>
      </m:oMath>
      <w:r>
        <w:t xml:space="preserve"> </w:t>
      </w:r>
      <w:r>
        <w:t xml:space="preserve">otherwise. Let</w:t>
      </w:r>
      <w:r>
        <w:t xml:space="preserve"> </w:t>
      </w:r>
      <m:oMath>
        <m:r>
          <m:rPr>
            <m:sty m:val="b"/>
          </m:rPr>
          <m:t>x</m:t>
        </m:r>
      </m:oMath>
      <w:r>
        <w:t xml:space="preserve"> </w:t>
      </w:r>
      <w:r>
        <w:t xml:space="preserve">be the order-time feature vector. A fitted model produces a real-valued score</w:t>
      </w:r>
      <w:r>
        <w:t xml:space="preserve"> </w:t>
      </w:r>
      <m:oMath>
        <m:r>
          <m:t>s</m:t>
        </m:r>
        <m:d>
          <m:dPr>
            <m:begChr m:val="("/>
            <m:endChr m:val=")"/>
            <m:sepChr m:val=""/>
            <m:grow/>
          </m:dPr>
          <m:e>
            <m:r>
              <m:rPr>
                <m:sty m:val="b"/>
              </m:rPr>
              <m:t>x</m:t>
            </m:r>
          </m:e>
        </m:d>
        <m:r>
          <m:rPr>
            <m:sty m:val="p"/>
          </m:rPr>
          <m:t>∈</m:t>
        </m:r>
        <m:d>
          <m:dPr>
            <m:begChr m:val="["/>
            <m:endChr m:val="]"/>
            <m:sepChr m:val=""/>
            <m:grow/>
          </m:dPr>
          <m:e>
            <m:r>
              <m:t>0</m:t>
            </m:r>
            <m:r>
              <m:rPr>
                <m:sty m:val="p"/>
              </m:rPr>
              <m:t>,</m:t>
            </m:r>
            <m:r>
              <m:t>1</m:t>
            </m:r>
          </m:e>
        </m:d>
      </m:oMath>
      <w:r>
        <w:t xml:space="preserve"> </w:t>
      </w:r>
      <w:r>
        <w:t xml:space="preserve">that we treat as</w:t>
      </w:r>
      <w:r>
        <w:t xml:space="preserve"> </w:t>
      </w:r>
      <m:oMath>
        <m:acc>
          <m:accPr>
            <m:chr m:val="̂"/>
          </m:accPr>
          <m:e>
            <m:r>
              <m:t>p</m:t>
            </m:r>
          </m:e>
        </m:acc>
        <m:d>
          <m:dPr>
            <m:begChr m:val="("/>
            <m:endChr m:val=")"/>
            <m:sepChr m:val=""/>
            <m:grow/>
          </m:dPr>
          <m:e>
            <m:r>
              <m:t>y</m:t>
            </m:r>
            <m:r>
              <m:rPr>
                <m:sty m:val="p"/>
              </m:rPr>
              <m:t>=</m:t>
            </m:r>
            <m:r>
              <m:t>1</m:t>
            </m:r>
            <m:r>
              <m:rPr>
                <m:sty m:val="p"/>
              </m:rPr>
              <m:t>∣</m:t>
            </m:r>
            <m:r>
              <m:rPr>
                <m:sty m:val="b"/>
              </m:rPr>
              <m:t>x</m:t>
            </m:r>
          </m:e>
        </m:d>
      </m:oMath>
      <w:r>
        <w:t xml:space="preserve"> </w:t>
      </w:r>
      <w:r>
        <w:t xml:space="preserve">after calibration; a decision</w:t>
      </w:r>
      <w:r>
        <w:t xml:space="preserve"> </w:t>
      </w:r>
      <m:oMath>
        <m:acc>
          <m:accPr>
            <m:chr m:val="̂"/>
          </m:accPr>
          <m:e>
            <m:r>
              <m:t>y</m:t>
            </m:r>
          </m:e>
        </m:acc>
      </m:oMath>
      <w:r>
        <w:t xml:space="preserve"> </w:t>
      </w:r>
      <w:r>
        <w:t xml:space="preserve">comes from</w:t>
      </w:r>
      <w:r>
        <w:t xml:space="preserve"> </w:t>
      </w:r>
      <m:oMath>
        <m:acc>
          <m:accPr>
            <m:chr m:val="̂"/>
          </m:accPr>
          <m:e>
            <m:r>
              <m:t>y</m:t>
            </m:r>
          </m:e>
        </m:acc>
        <m:r>
          <m:rPr>
            <m:sty m:val="p"/>
          </m:rPr>
          <m:t>=</m:t>
        </m:r>
        <m:r>
          <m:rPr>
            <m:sty m:val="p"/>
            <m:scr m:val="double-struck"/>
          </m:rPr>
          <m:t>1</m:t>
        </m:r>
        <m:d>
          <m:dPr>
            <m:begChr m:val="["/>
            <m:endChr m:val="]"/>
            <m:sepChr m:val=""/>
            <m:grow/>
          </m:dPr>
          <m:e>
            <m:r>
              <m:t>s</m:t>
            </m:r>
            <m:d>
              <m:dPr>
                <m:begChr m:val="("/>
                <m:endChr m:val=")"/>
                <m:sepChr m:val=""/>
                <m:grow/>
              </m:dPr>
              <m:e>
                <m:r>
                  <m:rPr>
                    <m:sty m:val="b"/>
                  </m:rPr>
                  <m:t>x</m:t>
                </m:r>
              </m:e>
            </m:d>
            <m:r>
              <m:rPr>
                <m:sty m:val="p"/>
              </m:rPr>
              <m:t>≥</m:t>
            </m:r>
            <m:r>
              <m:t>τ</m:t>
            </m:r>
          </m:e>
        </m:d>
      </m:oMath>
      <w:r>
        <w:t xml:space="preserve"> </w:t>
      </w:r>
      <w:r>
        <w:t xml:space="preserve">at a chosen threshold</w:t>
      </w:r>
      <w:r>
        <w:t xml:space="preserve"> </w:t>
      </w:r>
      <m:oMath>
        <m:r>
          <m:t>τ</m:t>
        </m:r>
      </m:oMath>
      <w:r>
        <w:t xml:space="preserve">. Subscripts</w:t>
      </w:r>
      <w:r>
        <w:t xml:space="preserve"> </w:t>
      </w:r>
      <m:oMath>
        <m:r>
          <m:t>i</m:t>
        </m:r>
        <m:r>
          <m:rPr>
            <m:sty m:val="p"/>
          </m:rPr>
          <m:t>=</m:t>
        </m:r>
        <m:r>
          <m:t>1</m:t>
        </m:r>
        <m:r>
          <m:rPr>
            <m:sty m:val="p"/>
          </m:rPr>
          <m:t>,</m:t>
        </m:r>
        <m:r>
          <m:rPr>
            <m:sty m:val="p"/>
          </m:rPr>
          <m:t>…</m:t>
        </m:r>
        <m:r>
          <m:rPr>
            <m:sty m:val="p"/>
          </m:rPr>
          <m:t>,</m:t>
        </m:r>
        <m:r>
          <m:t>N</m:t>
        </m:r>
      </m:oMath>
      <w:r>
        <w:t xml:space="preserve"> </w:t>
      </w:r>
      <w:r>
        <w:t xml:space="preserve">index rows.</w:t>
      </w:r>
    </w:p>
    <w:p>
      <w:pPr>
        <w:pStyle w:val="BodyText"/>
      </w:pPr>
      <w:r>
        <w:t xml:space="preserve">A fixed calendar cutoff</w:t>
      </w:r>
      <w:r>
        <w:t xml:space="preserve"> </w:t>
      </w:r>
      <m:oMath>
        <m:sSub>
          <m:e>
            <m:r>
              <m:t>t</m:t>
            </m:r>
          </m:e>
          <m:sub>
            <m:r>
              <m:rPr>
                <m:nor/>
                <m:sty m:val="p"/>
              </m:rPr>
              <m:t>cut</m:t>
            </m:r>
          </m:sub>
        </m:sSub>
        <m:r>
          <m:rPr>
            <m:sty m:val="p"/>
          </m:rPr>
          <m:t>=</m:t>
        </m:r>
        <m:r>
          <m:rPr>
            <m:nor/>
            <m:sty m:val="p"/>
          </m:rPr>
          <m:t>2021-07-22</m:t>
        </m:r>
      </m:oMath>
      <w:r>
        <w:t xml:space="preserve"> </w:t>
      </w:r>
      <w:r>
        <w:t xml:space="preserve">defines the temporal holdout: rows with order time strictly before</w:t>
      </w:r>
      <w:r>
        <w:t xml:space="preserve"> </w:t>
      </w:r>
      <m:oMath>
        <m:sSub>
          <m:e>
            <m:r>
              <m:t>t</m:t>
            </m:r>
          </m:e>
          <m:sub>
            <m:r>
              <m:rPr>
                <m:nor/>
                <m:sty m:val="p"/>
              </m:rPr>
              <m:t>cut</m:t>
            </m:r>
          </m:sub>
        </m:sSub>
      </m:oMath>
      <w:r>
        <w:t xml:space="preserve"> </w:t>
      </w:r>
      <w:r>
        <w:t xml:space="preserve">are training, rows on or after are test, subject to the protocol’s minimum-positive and minimum-window guards. Inner temporal windows are nested splits on the pre-cutoff data only and are used to choose models and calibrate decision rules before the outer holdout is touched.</w:t>
      </w:r>
    </w:p>
    <w:bookmarkEnd w:id="30"/>
    <w:bookmarkStart w:id="31" w:name="metrics"/>
    <w:p>
      <w:pPr>
        <w:pStyle w:val="Heading2"/>
      </w:pPr>
      <w:r>
        <w:t xml:space="preserve">Metrics</w:t>
      </w:r>
    </w:p>
    <w:p>
      <w:pPr>
        <w:pStyle w:val="FirstParagraph"/>
      </w:pPr>
      <w:r>
        <w:t xml:space="preserve">Standard rare-event classification metrics are reported: ROC-AUC, PR-AUC, precision, recall, F1, and accuracy. PR-AUC is the primary discrimination metric because the positive class is rare and ROC-AUC inflates under class imbalance</w:t>
      </w:r>
      <w:r>
        <w:t xml:space="preserve"> </w:t>
      </w:r>
      <w:r>
        <w:t xml:space="preserve">(Saito and Rehmsmeier 2015)</w:t>
      </w:r>
      <w:r>
        <w:t xml:space="preserve">. Calibration is diagnosed but not used to alter the score because rank-based metrics are invariant to monotonic transformations</w:t>
      </w:r>
      <w:r>
        <w:t xml:space="preserve"> </w:t>
      </w:r>
      <w:r>
        <w:t xml:space="preserve">(Niculescu-Mizil and Caruana 2005)</w:t>
      </w:r>
      <w:r>
        <w:t xml:space="preserve">. Threshold choice follows a recall-maximization-at-precision-floor objective on inner-temporal validation; for cost-sensitive variants, expected cost per row is plotted across cost ratios</w:t>
      </w:r>
      <w:r>
        <w:t xml:space="preserve"> </w:t>
      </w:r>
      <m:oMath>
        <m:r>
          <m:t>k</m:t>
        </m:r>
        <m:r>
          <m:rPr>
            <m:sty m:val="p"/>
          </m:rPr>
          <m:t>=</m:t>
        </m:r>
        <m:sSub>
          <m:e>
            <m:r>
              <m:t>c</m:t>
            </m:r>
          </m:e>
          <m:sub>
            <m:r>
              <m:rPr>
                <m:nor/>
                <m:sty m:val="p"/>
              </m:rPr>
              <m:t>miss</m:t>
            </m:r>
          </m:sub>
        </m:sSub>
        <m:r>
          <m:rPr>
            <m:sty m:val="p"/>
          </m:rPr>
          <m:t>/</m:t>
        </m:r>
        <m:sSub>
          <m:e>
            <m:r>
              <m:t>c</m:t>
            </m:r>
          </m:e>
          <m:sub>
            <m:r>
              <m:rPr>
                <m:nor/>
                <m:sty m:val="p"/>
              </m:rPr>
              <m:t>false alarm</m:t>
            </m:r>
          </m:sub>
        </m:sSub>
      </m:oMath>
      <w:r>
        <w:t xml:space="preserve"> </w:t>
      </w:r>
      <w:r>
        <w:t xml:space="preserve">following decision curve analysis</w:t>
      </w:r>
      <w:r>
        <w:t xml:space="preserve"> </w:t>
      </w:r>
      <w:r>
        <w:t xml:space="preserve">(Vickers and Elkin 2006)</w:t>
      </w:r>
      <w:r>
        <w:t xml:space="preserve">.</w:t>
      </w:r>
    </w:p>
    <w:bookmarkEnd w:id="31"/>
    <w:bookmarkEnd w:id="32"/>
    <w:bookmarkStart w:id="37" w:name="results"/>
    <w:p>
      <w:pPr>
        <w:pStyle w:val="Heading1"/>
      </w:pPr>
      <w:r>
        <w:t xml:space="preserve">Results</w:t>
      </w:r>
    </w:p>
    <w:bookmarkStart w:id="33" w:name="headline-outcomes-on-temporal-holdout"/>
    <w:p>
      <w:pPr>
        <w:pStyle w:val="Heading2"/>
      </w:pPr>
      <w:r>
        <w:t xml:space="preserve">Headline outcomes on temporal holdout</w:t>
      </w:r>
    </w:p>
    <w:p>
      <w:pPr>
        <w:pStyle w:val="FirstParagraph"/>
      </w:pPr>
      <w:r>
        <w:t xml:space="preserve"> </w:t>
      </w:r>
      <w:r>
        <w:t xml:space="preserve">summarizes the four headline learners on the outer temporal holdout (6,521 rows, 58 confirmed positives). The stack is the rule-selected champion. Logistic regression is the strongest deployable single model. The two together describe the data: the separating signal is largely linear, and ensembling adds discrimination at the cost of recall under the precision-floor objective.</w:t>
      </w:r>
    </w:p>
    <w:p>
      <w:pPr>
        <w:pStyle w:val="BodyText"/>
      </w:pPr>
      <w:r>
        <w:t xml:space="preserve">The discrimination story (</w:t>
      </w:r>
      <w:r>
        <w:t xml:space="preserve">) is consistent across both ranking views. The stack reaches the highest ROC-AUC on the temporal holdout, and logistic regression reaches the highest PR-AUC, which is the metric that matters more under a 3 percent positive prevalence.</w:t>
      </w:r>
    </w:p>
    <w:bookmarkEnd w:id="33"/>
    <w:bookmarkStart w:id="34" w:name="X5bd546a94196a56385afbd57046bff17191f8e7"/>
    <w:p>
      <w:pPr>
        <w:pStyle w:val="Heading2"/>
      </w:pPr>
      <w:r>
        <w:t xml:space="preserve">Decision behavior at the operating threshold</w:t>
      </w:r>
    </w:p>
    <w:p>
      <w:pPr>
        <w:pStyle w:val="FirstParagraph"/>
      </w:pPr>
      <w:r>
        <w:t xml:space="preserve"> </w:t>
      </w:r>
      <w:r>
        <w:t xml:space="preserve">shows row-normalized confusion matrices at the operating threshold for the deployable model (logistic regression at</w:t>
      </w:r>
      <w:r>
        <w:t xml:space="preserve"> </w:t>
      </w:r>
      <m:oMath>
        <m:r>
          <m:t>τ</m:t>
        </m:r>
        <m:r>
          <m:rPr>
            <m:sty m:val="p"/>
          </m:rPr>
          <m:t>=</m:t>
        </m:r>
        <m:r>
          <m:t>0.364</m:t>
        </m:r>
      </m:oMath>
      <w:r>
        <w:t xml:space="preserve">) and the rule-selected champion (stack at</w:t>
      </w:r>
      <w:r>
        <w:t xml:space="preserve"> </w:t>
      </w:r>
      <m:oMath>
        <m:r>
          <m:t>τ</m:t>
        </m:r>
        <m:r>
          <m:rPr>
            <m:sty m:val="p"/>
          </m:rPr>
          <m:t>=</m:t>
        </m:r>
        <m:r>
          <m:t>0.660</m:t>
        </m:r>
      </m:oMath>
      <w:r>
        <w:t xml:space="preserve">). Both achieve true-positive rates between 43 and 59 percent on a sparse positive tail. The asymmetry between recall and precision is intentional: the threshold objective is recall-maximization at a precision floor, which the protocol prefers when missed backorders carry more cost than false alarms.</w:t>
      </w:r>
    </w:p>
    <w:bookmarkEnd w:id="34"/>
    <w:bookmarkStart w:id="35" w:name="cost-sensitive-operating-curves"/>
    <w:p>
      <w:pPr>
        <w:pStyle w:val="Heading2"/>
      </w:pPr>
      <w:r>
        <w:t xml:space="preserve">Cost-sensitive operating curves</w:t>
      </w:r>
    </w:p>
    <w:p>
      <w:pPr>
        <w:pStyle w:val="FirstParagraph"/>
      </w:pPr>
      <w:r>
        <w:t xml:space="preserve"> </w:t>
      </w:r>
      <w:r>
        <w:t xml:space="preserve">plots expected cost per row against decision threshold across cost ratios</w:t>
      </w:r>
      <w:r>
        <w:t xml:space="preserve"> </w:t>
      </w:r>
      <m:oMath>
        <m:r>
          <m:t>k</m:t>
        </m:r>
        <m:r>
          <m:rPr>
            <m:sty m:val="p"/>
          </m:rPr>
          <m:t>∈</m:t>
        </m:r>
        <m:r>
          <m:rPr>
            <m:sty m:val="p"/>
          </m:rPr>
          <m:t>{</m:t>
        </m:r>
        <m:r>
          <m:t>1</m:t>
        </m:r>
        <m:r>
          <m:rPr>
            <m:sty m:val="p"/>
          </m:rPr>
          <m:t>,</m:t>
        </m:r>
        <m:r>
          <m:t>3</m:t>
        </m:r>
        <m:r>
          <m:rPr>
            <m:sty m:val="p"/>
          </m:rPr>
          <m:t>,</m:t>
        </m:r>
        <m:r>
          <m:t>10</m:t>
        </m:r>
        <m:r>
          <m:rPr>
            <m:sty m:val="p"/>
          </m:rPr>
          <m:t>,</m:t>
        </m:r>
        <m:r>
          <m:t>30</m:t>
        </m:r>
        <m:r>
          <m:rPr>
            <m:sty m:val="p"/>
          </m:rPr>
          <m:t>,</m:t>
        </m:r>
        <m:r>
          <m:t>100</m:t>
        </m:r>
        <m:r>
          <m:rPr>
            <m:sty m:val="p"/>
          </m:rPr>
          <m:t>}</m:t>
        </m:r>
      </m:oMath>
      <w:r>
        <w:t xml:space="preserve"> </w:t>
      </w:r>
      <w:r>
        <w:t xml:space="preserve">for the four candidate models. For realistic supply-chain asymmetry (</w:t>
      </w:r>
      <m:oMath>
        <m:r>
          <m:t>k</m:t>
        </m:r>
      </m:oMath>
      <w:r>
        <w:t xml:space="preserve"> </w:t>
      </w:r>
      <w:r>
        <w:t xml:space="preserve">between 3 and 30), the recall-maximization-at-precision-floor threshold for logistic regression also minimizes expected cost</w:t>
      </w:r>
      <w:r>
        <w:t xml:space="preserve"> </w:t>
      </w:r>
      <w:r>
        <w:t xml:space="preserve">(Vickers and Elkin 2006)</w:t>
      </w:r>
      <w:r>
        <w:t xml:space="preserve">. Only at</w:t>
      </w:r>
      <w:r>
        <w:t xml:space="preserve"> </w:t>
      </w:r>
      <m:oMath>
        <m:r>
          <m:t>k</m:t>
        </m:r>
        <m:r>
          <m:rPr>
            <m:sty m:val="p"/>
          </m:rPr>
          <m:t>≥</m:t>
        </m:r>
        <m:r>
          <m:t>100</m:t>
        </m:r>
      </m:oMath>
      <w:r>
        <w:t xml:space="preserve"> </w:t>
      </w:r>
      <w:r>
        <w:t xml:space="preserve">(line-stop criticality) does the recommended threshold drop further, trading roughly five percentage points of precision for fifteen percentage points of recall.</w:t>
      </w:r>
    </w:p>
    <w:bookmarkEnd w:id="35"/>
    <w:bookmarkStart w:id="36" w:name="what-the-lift-means-in-operations"/>
    <w:p>
      <w:pPr>
        <w:pStyle w:val="Heading2"/>
      </w:pPr>
      <w:r>
        <w:t xml:space="preserve">What the lift means in operations</w:t>
      </w:r>
    </w:p>
    <w:p>
      <w:pPr>
        <w:pStyle w:val="FirstParagraph"/>
      </w:pPr>
      <w:r>
        <w:t xml:space="preserve">Discrimination metrics are persuasive on a slide; their operational reading is what convinces a planner.</w:t>
      </w:r>
      <w:r>
        <w:t xml:space="preserve"> </w:t>
      </w:r>
      <w:r>
        <w:t xml:space="preserve"> </w:t>
      </w:r>
      <w:r>
        <w:t xml:space="preserve">translates the model into the way fulfillment teams actually triage. A reviewer who works the top 5 percent of incoming order lines, sorted by model score, captures roughly 80 percent of the orders that will eventually backorder; at the top 10 percent the curve is essentially saturated. The accompanying lift curve peaks above 100x at the head of the score distribution, meaning a planner queuing the highest-risk lines is more than 100 times as likely to find a real backorder as one chosen at random. The model is not replacing human review; it is giving the review queue a defensible order.</w:t>
      </w:r>
    </w:p>
    <w:bookmarkEnd w:id="36"/>
    <w:bookmarkEnd w:id="37"/>
    <w:bookmarkStart w:id="41" w:name="discussion"/>
    <w:p>
      <w:pPr>
        <w:pStyle w:val="Heading1"/>
      </w:pPr>
      <w:r>
        <w:t xml:space="preserve">Discussion</w:t>
      </w:r>
    </w:p>
    <w:bookmarkStart w:id="39" w:name="Xe99e322bc40a667779ec1bc90400baf9a894e14"/>
    <w:p>
      <w:pPr>
        <w:pStyle w:val="Heading2"/>
      </w:pPr>
      <w:r>
        <w:t xml:space="preserve">Why logistic regression matches the stack</w:t>
      </w:r>
    </w:p>
    <w:p>
      <w:pPr>
        <w:pStyle w:val="FirstParagraph"/>
      </w:pPr>
      <w:r>
        <w:t xml:space="preserve">The narrative is unusual for a capstone: the rule-selected champion is not the deployable recommendation. Both findings stand because they are anchored to different questions. Stacking buys roughly 0.03 ROC-AUC over logistic regression and a slightly smoother score distribution. Under the prevalence regime here, that ROC-AUC gain does not translate into PR-AUC gain, and PR-AUC is the metric that respects the rare-event setting</w:t>
      </w:r>
      <w:r>
        <w:t xml:space="preserve"> </w:t>
      </w:r>
      <w:r>
        <w:t xml:space="preserve">(Saito and Rehmsmeier 2015)</w:t>
      </w:r>
      <w:r>
        <w:t xml:space="preserve">.</w:t>
      </w:r>
    </w:p>
    <w:p>
      <w:pPr>
        <w:pStyle w:val="BodyText"/>
      </w:pPr>
      <w:r>
        <w:t xml:space="preserve">The reason becomes clear when the stack is opened. Inside the OOF stacking ensemble, the per-base-learner OOF PR-AUCs are 0.55 for logistic regression, 0.32 for random forest, 0.24 for kNN, and 0.23 for LightGBM.</w:t>
      </w:r>
      <w:r>
        <w:rPr>
          <w:rStyle w:val="FootnoteReference"/>
        </w:rPr>
        <w:footnoteReference w:id="38"/>
      </w:r>
      <w:r>
        <w:t xml:space="preserve"> </w:t>
      </w:r>
      <w:r>
        <w:t xml:space="preserve">The meta-learner is itself logistic regression on those four base scores, so the ensemble is mathematically dominated by its strongest base learner, which is also linear. The stack is, in effect, calibrated logistic regression with three weaker tree- and instance-based opinions blended in. It is unsurprising that LR-alone keeps pace.</w:t>
      </w:r>
    </w:p>
    <w:p>
      <w:pPr>
        <w:pStyle w:val="BodyText"/>
      </w:pPr>
      <w:r>
        <w:t xml:space="preserve"> </w:t>
      </w:r>
      <w:r>
        <w:t xml:space="preserve">sharpens the point. The three highest-coefficient features are leakage-safe historical positive-rate signals at the customer, material, and client-by-material grain, computed with closed-left rolling windows so no information from the day of the order is included. Item-category, country, and confirmation-fill ratio fill out the next tier. These are the kinds of signals that a planner would intuitively reach for, and the model is reaching for the same ones.</w:t>
      </w:r>
    </w:p>
    <w:bookmarkEnd w:id="39"/>
    <w:bookmarkStart w:id="40" w:name="what-the-negative-results-tell-us"/>
    <w:p>
      <w:pPr>
        <w:pStyle w:val="Heading2"/>
      </w:pPr>
      <w:r>
        <w:t xml:space="preserve">What the negative results tell us</w:t>
      </w:r>
    </w:p>
    <w:p>
      <w:pPr>
        <w:pStyle w:val="FirstParagraph"/>
      </w:pPr>
      <w:r>
        <w:t xml:space="preserve">The experiment branch documents four disciplined attempts to lift the LR ceiling. Each was atomic, each had a predefined decision gate, and each is reported below at full strength rather than buried.</w:t>
      </w:r>
    </w:p>
    <w:p>
      <w:pPr>
        <w:pStyle w:val="BodyText"/>
      </w:pPr>
      <w:r>
        <w:t xml:space="preserve">The four findings agree. Calibration and cost-sensitive tuning move thresholds without moving rank metrics. Feature engineering that depends on the target inherits whatever bias the target has. Stacking layers cannot recover signal the inputs do not contain. The ceiling is in the data, and the data ceiling has a name: label maturity.</w:t>
      </w:r>
    </w:p>
    <w:bookmarkEnd w:id="40"/>
    <w:bookmarkEnd w:id="41"/>
    <w:bookmarkStart w:id="42" w:name="limitations"/>
    <w:p>
      <w:pPr>
        <w:pStyle w:val="Heading1"/>
      </w:pPr>
      <w:r>
        <w:t xml:space="preserve">Limitations</w:t>
      </w:r>
    </w:p>
    <w:p>
      <w:pPr>
        <w:pStyle w:val="FirstParagraph"/>
      </w:pPr>
      <w:r>
        <w:t xml:space="preserve">The dominant limitation is</w:t>
      </w:r>
      <w:r>
        <w:t xml:space="preserve"> </w:t>
      </w:r>
      <w:r>
        <w:rPr>
          <w:b/>
          <w:bCs/>
        </w:rPr>
        <w:t xml:space="preserve">label maturity</w:t>
      </w:r>
      <w:r>
        <w:t xml:space="preserve">, not model architecture. The deployment gate in</w:t>
      </w:r>
      <w:r>
        <w:t xml:space="preserve"> </w:t>
      </w:r>
      <w:r>
        <w:t xml:space="preserve"> </w:t>
      </w:r>
      <w:r>
        <w:t xml:space="preserve">summarizes the situation: model precision and model recall both clear the protocol’s floors, yet the overall release gate fails. The reason is that the most recent 180 days of training data have only 36 percent label coverage and 32 confirmed positives, both below the protocol’s 50 percent coverage and 40-positive thresholds. Any rolling feature computed inside that window is biased downward, which is what hurt the rolling-feature experiment. The temporal-test mean positive rate sits well below the long-run prevalence and bursts of late-2020 activity are not represented in the test tail; that maturity-driven undercount is exactly what the gate is built to catch.</w:t>
      </w:r>
    </w:p>
    <w:p>
      <w:pPr>
        <w:pStyle w:val="BodyText"/>
      </w:pPr>
      <w:r>
        <w:t xml:space="preserve">The second limitation is the</w:t>
      </w:r>
      <w:r>
        <w:t xml:space="preserve"> </w:t>
      </w:r>
      <w:r>
        <w:rPr>
          <w:b/>
          <w:bCs/>
        </w:rPr>
        <w:t xml:space="preserve">sparse-positive regime</w:t>
      </w:r>
      <w:r>
        <w:t xml:space="preserve">. With only 58 confirmed positives in the temporal test window, single-row decisions move precision and recall by visible amounts. Recent-window scores are even sparser (14 test positives), which is why the protocol treats the recent-window check as advisory rather than binding when train-side positive support is thin. The third limitation is feature scope: the order-time table is rich on order intent (quantities, lead times, calendar) but light on ERP-side context (plant lead time, material availability promise, customer credit history) that would likely lift the ceiling. None of those signals were in scope for the v2 build.</w:t>
      </w:r>
    </w:p>
    <w:bookmarkEnd w:id="42"/>
    <w:bookmarkStart w:id="43" w:name="conclusion-and-future-work"/>
    <w:p>
      <w:pPr>
        <w:pStyle w:val="Heading1"/>
      </w:pPr>
      <w:r>
        <w:t xml:space="preserve">Conclusion and Future Work</w:t>
      </w:r>
    </w:p>
    <w:p>
      <w:pPr>
        <w:pStyle w:val="FirstParagraph"/>
      </w:pPr>
      <w:r>
        <w:t xml:space="preserve">The capstone delivers a defensible, time-safe classifier for SAP order-line backorder risk. The rule-selected champion (OOF calibrated stack) and the deployable best (logistic regression) both clear precision and recall floors on the outer temporal holdout. Logistic regression is the recommended single-model deploy candidate because its PR-AUC, recall, and threshold robustness all favor it under sparse positives. The overall release decision is</w:t>
      </w:r>
      <w:r>
        <w:t xml:space="preserve"> </w:t>
      </w:r>
      <w:r>
        <w:rPr>
          <w:b/>
          <w:bCs/>
        </w:rPr>
        <w:t xml:space="preserve">NO-GO</w:t>
      </w:r>
      <w:r>
        <w:t xml:space="preserve">, blocked by a label-maturity gate rather than a model gate, and that decision is reported plainly because the project’s protocol values calibration of expectations over banner success.</w:t>
      </w:r>
    </w:p>
    <w:p>
      <w:pPr>
        <w:pStyle w:val="BodyText"/>
      </w:pPr>
      <w:r>
        <w:t xml:space="preserve">Future work has three concrete directions, each a candidate for follow-up. First, narrow the training window and mask the most recent 180 days of training labels so rolling features can be rebuilt without maturity bias. Second, source new ERP-side, target-independent signals such as available-to-promise state, plant lead-time history, and material lead-time history at order time. Third, develop per-cohort models for the largest plants and material classes where positive support is sufficient, so a single global parameterization is not forced to cover 73 plants and thousands of materials. None of these are cheap; each is a credible follow-up project in its own right.</w:t>
      </w:r>
    </w:p>
    <w:bookmarkEnd w:id="43"/>
    <w:bookmarkStart w:id="44" w:name="code-and-data-availability"/>
    <w:p>
      <w:pPr>
        <w:pStyle w:val="Heading1"/>
      </w:pPr>
      <w:r>
        <w:t xml:space="preserve">Code and Data Availability</w:t>
      </w:r>
    </w:p>
    <w:p>
      <w:pPr>
        <w:pStyle w:val="FirstParagraph"/>
      </w:pPr>
      <w:r>
        <w:t xml:space="preserve">All code, configuration, and analysis artifacts behind this report live in the version-controlled capstone repository, including the</w:t>
      </w:r>
      <w:r>
        <w:t xml:space="preserve"> </w:t>
      </w:r>
      <w:r>
        <w:rPr>
          <w:rStyle w:val="VerbatimChar"/>
        </w:rPr>
        <w:t xml:space="preserve">v2</w:t>
      </w:r>
      <w:r>
        <w:t xml:space="preserve"> </w:t>
      </w:r>
      <w:r>
        <w:t xml:space="preserve">order-time pipeline (</w:t>
      </w:r>
      <w:r>
        <w:rPr>
          <w:rStyle w:val="VerbatimChar"/>
        </w:rPr>
        <w:t xml:space="preserve">src/</w:t>
      </w:r>
      <w:r>
        <w:t xml:space="preserve">,</w:t>
      </w:r>
      <w:r>
        <w:t xml:space="preserve"> </w:t>
      </w:r>
      <w:r>
        <w:rPr>
          <w:rStyle w:val="VerbatimChar"/>
        </w:rPr>
        <w:t xml:space="preserve">scripts/</w:t>
      </w:r>
      <w:r>
        <w:t xml:space="preserve">), the modeling driver (</w:t>
      </w:r>
      <w:r>
        <w:rPr>
          <w:rStyle w:val="VerbatimChar"/>
        </w:rPr>
        <w:t xml:space="preserve">scripts/run_modeling.py</w:t>
      </w:r>
      <w:r>
        <w:t xml:space="preserve">), the metrics JSON (</w:t>
      </w:r>
      <w:r>
        <w:rPr>
          <w:rStyle w:val="VerbatimChar"/>
        </w:rPr>
        <w:t xml:space="preserve">models/classification_metrics_v2_ordertime.json</w:t>
      </w:r>
      <w:r>
        <w:t xml:space="preserve">), and the tuned hyperparameters (</w:t>
      </w:r>
      <w:r>
        <w:rPr>
          <w:rStyle w:val="VerbatimChar"/>
        </w:rPr>
        <w:t xml:space="preserve">models/hyperparameters_tuned_v2_ordertime.json</w:t>
      </w:r>
      <w:r>
        <w:t xml:space="preserve">). The end-to-end run is reproducible from a clean checkout via</w:t>
      </w:r>
      <w:r>
        <w:t xml:space="preserve"> </w:t>
      </w:r>
      <w:r>
        <w:rPr>
          <w:rStyle w:val="VerbatimChar"/>
        </w:rPr>
        <w:t xml:space="preserve">./scripts/run_v2_full_chain.sh</w:t>
      </w:r>
      <w:r>
        <w:t xml:space="preserve"> </w:t>
      </w:r>
      <w:r>
        <w:t xml:space="preserve">against</w:t>
      </w:r>
      <w:r>
        <w:t xml:space="preserve"> </w:t>
      </w:r>
      <w:r>
        <w:rPr>
          <w:rStyle w:val="VerbatimChar"/>
        </w:rPr>
        <w:t xml:space="preserve">requirements-v2.txt</w:t>
      </w:r>
      <w:r>
        <w:t xml:space="preserve">. The modeling table is the in-house pipeline build</w:t>
      </w:r>
      <w:r>
        <w:t xml:space="preserve"> </w:t>
      </w:r>
      <w:r>
        <w:rPr>
          <w:rStyle w:val="VerbatimChar"/>
        </w:rPr>
        <w:t xml:space="preserve">master_order_fulfillment_modeling_v2_ordertime.csv</w:t>
      </w:r>
      <w:r>
        <w:t xml:space="preserve">; raw inputs follow the SAP SD/MM field reference</w:t>
      </w:r>
      <w:r>
        <w:t xml:space="preserve"> </w:t>
      </w:r>
      <w:r>
        <w:t xml:space="preserve">(SAP SE 2024)</w:t>
      </w:r>
      <w:r>
        <w:t xml:space="preserve"> </w:t>
      </w:r>
      <w:r>
        <w:t xml:space="preserve">but are not redistributed with this report.</w:t>
      </w:r>
    </w:p>
    <w:bookmarkEnd w:id="44"/>
    <w:bookmarkStart w:id="45" w:name="acknowledgements"/>
    <w:p>
      <w:pPr>
        <w:pStyle w:val="Heading1"/>
      </w:pPr>
      <w:r>
        <w:t xml:space="preserve">Acknowledgements</w:t>
      </w:r>
    </w:p>
    <w:p>
      <w:pPr>
        <w:pStyle w:val="FirstParagraph"/>
      </w:pPr>
      <w:r>
        <w:t xml:space="preserve">I extend my deepest gratitude to Dr. Liang Jingsai, my capstone advisor, professor, and academic mentor, whose statistical insight and judgment repeatedly redirected this work toward time-safe evaluation when shortcuts were tempting. He is, simply, a brilliant statistician, and the standard he held my peers and me to is reflected in every defensible choice in this paper.</w:t>
      </w:r>
    </w:p>
    <w:p>
      <w:pPr>
        <w:pStyle w:val="BodyText"/>
      </w:pPr>
      <w:r>
        <w:t xml:space="preserve">I sincerely thank the Computer Science associate professors and Dr. Kathryn Lenth, the department chair, for years of mentorship and for the rigor that prepared me to take on a project of this scope. I am equally grateful to the Mathematics department: I had the privilege of taking a mathematics or data-science course with nearly every member of the faculty, and I currently work as a tutor for Dr. Janine Wittwer, closing a circle of teachers I will always look up to as mentors and advisors. To all of them, thank you for the patience, feedback, and care you offered me as a student.</w:t>
      </w:r>
    </w:p>
    <w:p>
      <w:pPr>
        <w:pStyle w:val="BodyText"/>
      </w:pPr>
      <w:r>
        <w:t xml:space="preserve">The v2 modeling table, deployment-gate logic, and Westminster brand visual styling are all version-controlled in the project repository. Open-source libraries used include scikit-learn</w:t>
      </w:r>
      <w:r>
        <w:t xml:space="preserve"> </w:t>
      </w:r>
      <w:r>
        <w:t xml:space="preserve">(Pedregosa et al. 2011)</w:t>
      </w:r>
      <w:r>
        <w:t xml:space="preserve">, XGBoost</w:t>
      </w:r>
      <w:r>
        <w:t xml:space="preserve"> </w:t>
      </w:r>
      <w:r>
        <w:t xml:space="preserve">(Chen and Guestrin 2016)</w:t>
      </w:r>
      <w:r>
        <w:t xml:space="preserve">, LightGBM</w:t>
      </w:r>
      <w:r>
        <w:t xml:space="preserve"> </w:t>
      </w:r>
      <w:r>
        <w:t xml:space="preserve">(Ke et al. 2017)</w:t>
      </w:r>
      <w:r>
        <w:t xml:space="preserve">, and CatBoost</w:t>
      </w:r>
      <w:r>
        <w:t xml:space="preserve"> </w:t>
      </w:r>
      <w:r>
        <w:t xml:space="preserve">(Prokhorenkova et al. 2018)</w:t>
      </w:r>
      <w:r>
        <w:t xml:space="preserve">.</w:t>
      </w:r>
    </w:p>
    <w:bookmarkEnd w:id="45"/>
    <w:bookmarkStart w:id="62" w:name="references"/>
    <w:p>
      <w:pPr>
        <w:pStyle w:val="Heading1"/>
      </w:pPr>
      <w:r>
        <w:t xml:space="preserve">References</w:t>
      </w:r>
    </w:p>
    <w:bookmarkStart w:id="61" w:name="refs"/>
    <w:bookmarkStart w:id="47" w:name="ref-chen2016xgboost"/>
    <w:p>
      <w:pPr>
        <w:pStyle w:val="Bibliography"/>
      </w:pPr>
      <w:r>
        <w:t xml:space="preserve">Chen, Tianqi, and Carlos Guestrin. 2016.</w:t>
      </w:r>
      <w:r>
        <w:t xml:space="preserve"> </w:t>
      </w:r>
      <w:r>
        <w:t xml:space="preserve">“</w:t>
      </w:r>
      <w:r>
        <w:t xml:space="preserve">XGBoost</w:t>
      </w:r>
      <w:r>
        <w:t xml:space="preserve">: A Scalable Tree Boosting System.”</w:t>
      </w:r>
      <w:r>
        <w:t xml:space="preserve"> </w:t>
      </w:r>
      <w:r>
        <w:t xml:space="preserve">In</w:t>
      </w:r>
      <w:r>
        <w:t xml:space="preserve"> </w:t>
      </w:r>
      <w:r>
        <w:rPr>
          <w:i/>
          <w:iCs/>
        </w:rPr>
        <w:t xml:space="preserve">Proceedings of the 22nd</w:t>
      </w:r>
      <w:r>
        <w:rPr>
          <w:i/>
          <w:iCs/>
        </w:rPr>
        <w:t xml:space="preserve"> </w:t>
      </w:r>
      <w:r>
        <w:rPr>
          <w:i/>
          <w:iCs/>
        </w:rPr>
        <w:t xml:space="preserve">ACM SIGKDD</w:t>
      </w:r>
      <w:r>
        <w:rPr>
          <w:i/>
          <w:iCs/>
        </w:rPr>
        <w:t xml:space="preserve"> </w:t>
      </w:r>
      <w:r>
        <w:rPr>
          <w:i/>
          <w:iCs/>
        </w:rPr>
        <w:t xml:space="preserve">International Conference on Knowledge Discovery and Data Mining (KDD ’16)</w:t>
      </w:r>
      <w:r>
        <w:t xml:space="preserve">, 785–94. ACM.</w:t>
      </w:r>
      <w:r>
        <w:t xml:space="preserve"> </w:t>
      </w:r>
      <w:hyperlink r:id="rId46">
        <w:r>
          <w:rPr>
            <w:rStyle w:val="Hyperlink"/>
          </w:rPr>
          <w:t xml:space="preserve">https://doi.org/10.1145/2939672.2939785</w:t>
        </w:r>
      </w:hyperlink>
      <w:r>
        <w:t xml:space="preserve">.</w:t>
      </w:r>
    </w:p>
    <w:bookmarkEnd w:id="47"/>
    <w:bookmarkStart w:id="48" w:name="ref-ke2017lightgbm"/>
    <w:p>
      <w:pPr>
        <w:pStyle w:val="Bibliography"/>
      </w:pPr>
      <w:r>
        <w:t xml:space="preserve">Ke, Guolin, Qi Meng, Thomas Finley, Taifeng Wang, Wei Chen, Weidong Ma, Qiwei Ye, and Tie-Yan Liu. 2017.</w:t>
      </w:r>
      <w:r>
        <w:t xml:space="preserve"> </w:t>
      </w:r>
      <w:r>
        <w:t xml:space="preserve">“</w:t>
      </w:r>
      <w:r>
        <w:t xml:space="preserve">LightGBM</w:t>
      </w:r>
      <w:r>
        <w:t xml:space="preserve">: A Highly Efficient Gradient Boosting Decision Tree.”</w:t>
      </w:r>
      <w:r>
        <w:t xml:space="preserve"> </w:t>
      </w:r>
      <w:r>
        <w:t xml:space="preserve">In</w:t>
      </w:r>
      <w:r>
        <w:t xml:space="preserve"> </w:t>
      </w:r>
      <w:r>
        <w:rPr>
          <w:i/>
          <w:iCs/>
        </w:rPr>
        <w:t xml:space="preserve">Advances in Neural Information Processing Systems 30 (NeurIPS)</w:t>
      </w:r>
      <w:r>
        <w:t xml:space="preserve">, 3146–54.</w:t>
      </w:r>
    </w:p>
    <w:bookmarkEnd w:id="48"/>
    <w:bookmarkStart w:id="50" w:name="ref-niculescu2005calibration"/>
    <w:p>
      <w:pPr>
        <w:pStyle w:val="Bibliography"/>
      </w:pPr>
      <w:r>
        <w:t xml:space="preserve">Niculescu-Mizil, Alexandru, and Rich Caruana. 2005.</w:t>
      </w:r>
      <w:r>
        <w:t xml:space="preserve"> </w:t>
      </w:r>
      <w:r>
        <w:t xml:space="preserve">“Predicting Good Probabilities with Supervised Learning.”</w:t>
      </w:r>
      <w:r>
        <w:t xml:space="preserve"> </w:t>
      </w:r>
      <w:r>
        <w:t xml:space="preserve">In</w:t>
      </w:r>
      <w:r>
        <w:t xml:space="preserve"> </w:t>
      </w:r>
      <w:r>
        <w:rPr>
          <w:i/>
          <w:iCs/>
        </w:rPr>
        <w:t xml:space="preserve">Proceedings of the 22nd International Conference on Machine Learning (ICML)</w:t>
      </w:r>
      <w:r>
        <w:t xml:space="preserve">, 625–32.</w:t>
      </w:r>
      <w:r>
        <w:t xml:space="preserve"> </w:t>
      </w:r>
      <w:hyperlink r:id="rId49">
        <w:r>
          <w:rPr>
            <w:rStyle w:val="Hyperlink"/>
          </w:rPr>
          <w:t xml:space="preserve">https://doi.org/10.1145/1102351.1102430</w:t>
        </w:r>
      </w:hyperlink>
      <w:r>
        <w:t xml:space="preserve">.</w:t>
      </w:r>
    </w:p>
    <w:bookmarkEnd w:id="50"/>
    <w:bookmarkStart w:id="51" w:name="ref-pedregosa2011scikit"/>
    <w:p>
      <w:pPr>
        <w:pStyle w:val="Bibliography"/>
      </w:pPr>
      <w:r>
        <w:t xml:space="preserve">Pedregosa, F., G. Varoquaux, A. Gramfort, V. Michel, B. Thirion, O. Grisel, M. Blondel, et al. 2011.</w:t>
      </w:r>
      <w:r>
        <w:t xml:space="preserve"> </w:t>
      </w:r>
      <w:r>
        <w:t xml:space="preserve">“Scikit-Learn:</w:t>
      </w:r>
      <w:r>
        <w:t xml:space="preserve"> </w:t>
      </w:r>
      <w:r>
        <w:t xml:space="preserve">M</w:t>
      </w:r>
      <w:r>
        <w:t xml:space="preserve">achine Learning in</w:t>
      </w:r>
      <w:r>
        <w:t xml:space="preserve"> </w:t>
      </w:r>
      <w:r>
        <w:t xml:space="preserve">P</w:t>
      </w:r>
      <w:r>
        <w:t xml:space="preserve">ython.”</w:t>
      </w:r>
      <w:r>
        <w:t xml:space="preserve"> </w:t>
      </w:r>
      <w:r>
        <w:rPr>
          <w:i/>
          <w:iCs/>
        </w:rPr>
        <w:t xml:space="preserve">Journal of Machine Learning Research</w:t>
      </w:r>
      <w:r>
        <w:t xml:space="preserve"> </w:t>
      </w:r>
      <w:r>
        <w:t xml:space="preserve">12: 2825–30.</w:t>
      </w:r>
    </w:p>
    <w:bookmarkEnd w:id="51"/>
    <w:bookmarkStart w:id="52" w:name="ref-prokhorenkova2018catboost"/>
    <w:p>
      <w:pPr>
        <w:pStyle w:val="Bibliography"/>
      </w:pPr>
      <w:r>
        <w:t xml:space="preserve">Prokhorenkova, Liudmila, Gleb Gusev, Aleksandr Vorobev, Anna Veronika Dorogush, and Andrey Gulin. 2018.</w:t>
      </w:r>
      <w:r>
        <w:t xml:space="preserve"> </w:t>
      </w:r>
      <w:r>
        <w:t xml:space="preserve">“</w:t>
      </w:r>
      <w:r>
        <w:t xml:space="preserve">CatBoost</w:t>
      </w:r>
      <w:r>
        <w:t xml:space="preserve">: Unbiased Boosting with Categorical Features.”</w:t>
      </w:r>
      <w:r>
        <w:t xml:space="preserve"> </w:t>
      </w:r>
      <w:r>
        <w:t xml:space="preserve">In</w:t>
      </w:r>
      <w:r>
        <w:t xml:space="preserve"> </w:t>
      </w:r>
      <w:r>
        <w:rPr>
          <w:i/>
          <w:iCs/>
        </w:rPr>
        <w:t xml:space="preserve">Advances in Neural Information Processing Systems 31 (NeurIPS)</w:t>
      </w:r>
      <w:r>
        <w:t xml:space="preserve">, 6638–48.</w:t>
      </w:r>
    </w:p>
    <w:bookmarkEnd w:id="52"/>
    <w:bookmarkStart w:id="54" w:name="ref-saito2015pr"/>
    <w:p>
      <w:pPr>
        <w:pStyle w:val="Bibliography"/>
      </w:pPr>
      <w:r>
        <w:t xml:space="preserve">Saito, Takaya, and Marc Rehmsmeier. 2015.</w:t>
      </w:r>
      <w:r>
        <w:t xml:space="preserve"> </w:t>
      </w:r>
      <w:r>
        <w:t xml:space="preserve">“The Precision-Recall Plot Is More Informative Than the</w:t>
      </w:r>
      <w:r>
        <w:t xml:space="preserve"> </w:t>
      </w:r>
      <w:r>
        <w:t xml:space="preserve">ROC</w:t>
      </w:r>
      <w:r>
        <w:t xml:space="preserve"> </w:t>
      </w:r>
      <w:r>
        <w:t xml:space="preserve">Plot When Evaluating Binary Classifiers on Imbalanced Datasets.”</w:t>
      </w:r>
      <w:r>
        <w:t xml:space="preserve"> </w:t>
      </w:r>
      <w:r>
        <w:rPr>
          <w:i/>
          <w:iCs/>
        </w:rPr>
        <w:t xml:space="preserve">PLoS ONE</w:t>
      </w:r>
      <w:r>
        <w:t xml:space="preserve"> </w:t>
      </w:r>
      <w:r>
        <w:t xml:space="preserve">10 (3): e0118432.</w:t>
      </w:r>
      <w:r>
        <w:t xml:space="preserve"> </w:t>
      </w:r>
      <w:hyperlink r:id="rId53">
        <w:r>
          <w:rPr>
            <w:rStyle w:val="Hyperlink"/>
          </w:rPr>
          <w:t xml:space="preserve">https://doi.org/10.1371/journal.pone.0118432</w:t>
        </w:r>
      </w:hyperlink>
      <w:r>
        <w:t xml:space="preserve">.</w:t>
      </w:r>
    </w:p>
    <w:bookmarkEnd w:id="54"/>
    <w:bookmarkStart w:id="56" w:name="ref-sapsd"/>
    <w:p>
      <w:pPr>
        <w:pStyle w:val="Bibliography"/>
      </w:pPr>
      <w:r>
        <w:t xml:space="preserve">SAP SE. 2024.</w:t>
      </w:r>
      <w:r>
        <w:t xml:space="preserve"> </w:t>
      </w:r>
      <w:r>
        <w:t xml:space="preserve">“</w:t>
      </w:r>
      <w:r>
        <w:t xml:space="preserve">SAP</w:t>
      </w:r>
      <w:r>
        <w:t xml:space="preserve"> </w:t>
      </w:r>
      <w:r>
        <w:t xml:space="preserve">SD/MM</w:t>
      </w:r>
      <w:r>
        <w:t xml:space="preserve"> </w:t>
      </w:r>
      <w:r>
        <w:t xml:space="preserve">Field Reference: Sales Document, Material Master, and Plant Tables.”</w:t>
      </w:r>
      <w:r>
        <w:t xml:space="preserve"> </w:t>
      </w:r>
      <w:hyperlink r:id="rId55">
        <w:r>
          <w:rPr>
            <w:rStyle w:val="Hyperlink"/>
          </w:rPr>
          <w:t xml:space="preserve">https://help.sap.com/docs/SAP_S4HANA_ON-PREMISE</w:t>
        </w:r>
      </w:hyperlink>
      <w:r>
        <w:t xml:space="preserve">.</w:t>
      </w:r>
    </w:p>
    <w:bookmarkEnd w:id="56"/>
    <w:bookmarkStart w:id="58" w:name="ref-vickers2006decision"/>
    <w:p>
      <w:pPr>
        <w:pStyle w:val="Bibliography"/>
      </w:pPr>
      <w:r>
        <w:t xml:space="preserve">Vickers, Andrew J., and Elena B. Elkin. 2006.</w:t>
      </w:r>
      <w:r>
        <w:t xml:space="preserve"> </w:t>
      </w:r>
      <w:r>
        <w:t xml:space="preserve">“Decision Curve Analysis: A Novel Method for Evaluating Prediction Models.”</w:t>
      </w:r>
      <w:r>
        <w:t xml:space="preserve"> </w:t>
      </w:r>
      <w:r>
        <w:rPr>
          <w:i/>
          <w:iCs/>
        </w:rPr>
        <w:t xml:space="preserve">Medical Decision Making</w:t>
      </w:r>
      <w:r>
        <w:t xml:space="preserve"> </w:t>
      </w:r>
      <w:r>
        <w:t xml:space="preserve">26 (6): 565–74.</w:t>
      </w:r>
      <w:r>
        <w:t xml:space="preserve"> </w:t>
      </w:r>
      <w:hyperlink r:id="rId57">
        <w:r>
          <w:rPr>
            <w:rStyle w:val="Hyperlink"/>
          </w:rPr>
          <w:t xml:space="preserve">https://doi.org/10.1177/0272989X06295361</w:t>
        </w:r>
      </w:hyperlink>
      <w:r>
        <w:t xml:space="preserve">.</w:t>
      </w:r>
    </w:p>
    <w:bookmarkEnd w:id="58"/>
    <w:bookmarkStart w:id="60" w:name="ref-wolpert1992stacked"/>
    <w:p>
      <w:pPr>
        <w:pStyle w:val="Bibliography"/>
      </w:pPr>
      <w:r>
        <w:t xml:space="preserve">Wolpert, David H. 1992.</w:t>
      </w:r>
      <w:r>
        <w:t xml:space="preserve"> </w:t>
      </w:r>
      <w:r>
        <w:t xml:space="preserve">“Stacked Generalization.”</w:t>
      </w:r>
      <w:r>
        <w:t xml:space="preserve"> </w:t>
      </w:r>
      <w:r>
        <w:rPr>
          <w:i/>
          <w:iCs/>
        </w:rPr>
        <w:t xml:space="preserve">Neural Networks</w:t>
      </w:r>
      <w:r>
        <w:t xml:space="preserve"> </w:t>
      </w:r>
      <w:r>
        <w:t xml:space="preserve">5 (2): 241–59.</w:t>
      </w:r>
      <w:r>
        <w:t xml:space="preserve"> </w:t>
      </w:r>
      <w:hyperlink r:id="rId59">
        <w:r>
          <w:rPr>
            <w:rStyle w:val="Hyperlink"/>
          </w:rPr>
          <w:t xml:space="preserve">https://doi.org/10.1016/S0893-6080(05)80023-1</w:t>
        </w:r>
      </w:hyperlink>
      <w:r>
        <w:t xml:space="preserve">.</w:t>
      </w:r>
    </w:p>
    <w:bookmarkEnd w:id="60"/>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The repository tracks an explicit list of leaky columns inside</w:t>
      </w:r>
      <w:r>
        <w:t xml:space="preserve"> </w:t>
      </w:r>
      <w:r>
        <w:rPr>
          <w:rStyle w:val="VerbatimChar"/>
        </w:rPr>
        <w:t xml:space="preserve">models/classification_metrics_v2_ordertime.json</w:t>
      </w:r>
      <w:r>
        <w:t xml:space="preserve">, and the modeling pipeline excludes them by contract.</w:t>
      </w:r>
    </w:p>
  </w:footnote>
  <w:footnote w:id="25">
    <w:p>
      <w:pPr>
        <w:pStyle w:val="FootnoteText"/>
      </w:pPr>
      <w:r>
        <w:rPr>
          <w:rStyle w:val="FootnoteReference"/>
        </w:rPr>
        <w:footnoteRef/>
      </w:r>
      <w:r>
        <w:t xml:space="preserve"> </w:t>
      </w:r>
      <w:r>
        <w:t xml:space="preserve">Source:</w:t>
      </w:r>
      <w:r>
        <w:t xml:space="preserve"> </w:t>
      </w:r>
      <w:r>
        <w:rPr>
          <w:rStyle w:val="VerbatimChar"/>
        </w:rPr>
        <w:t xml:space="preserve">models/classification_metrics_v2_ordertime.json</w:t>
      </w:r>
      <w:r>
        <w:t xml:space="preserve">, key</w:t>
      </w:r>
      <w:r>
        <w:t xml:space="preserve"> </w:t>
      </w:r>
      <w:r>
        <w:rPr>
          <w:rStyle w:val="VerbatimChar"/>
        </w:rPr>
        <w:t xml:space="preserve">dataset_summary</w:t>
      </w:r>
      <w:r>
        <w:t xml:space="preserve">.</w:t>
      </w:r>
    </w:p>
  </w:footnote>
  <w:footnote w:id="27">
    <w:p>
      <w:pPr>
        <w:pStyle w:val="FootnoteText"/>
      </w:pPr>
      <w:r>
        <w:rPr>
          <w:rStyle w:val="FootnoteReference"/>
        </w:rPr>
        <w:footnoteRef/>
      </w:r>
      <w:r>
        <w:t xml:space="preserve"> </w:t>
      </w:r>
      <w:r>
        <w:t xml:space="preserve">This report distinguishes the</w:t>
      </w:r>
      <w:r>
        <w:t xml:space="preserve"> </w:t>
      </w:r>
      <w:r>
        <w:rPr>
          <w:i/>
          <w:iCs/>
        </w:rPr>
        <w:t xml:space="preserve">rule-selected champion</w:t>
      </w:r>
      <w:r>
        <w:t xml:space="preserve"> </w:t>
      </w:r>
      <w:r>
        <w:t xml:space="preserve">(the model that wins inner-temporal validation under the protocol) from the</w:t>
      </w:r>
      <w:r>
        <w:t xml:space="preserve"> </w:t>
      </w:r>
      <w:r>
        <w:rPr>
          <w:i/>
          <w:iCs/>
        </w:rPr>
        <w:t xml:space="preserve">deployable best</w:t>
      </w:r>
      <w:r>
        <w:t xml:space="preserve"> </w:t>
      </w:r>
      <w:r>
        <w:t xml:space="preserve">(the strongest single learner on the outer temporal holdout). Naming both keeps the selection rule honest and the recommendation actionable.</w:t>
      </w:r>
    </w:p>
  </w:footnote>
  <w:footnote w:id="38">
    <w:p>
      <w:pPr>
        <w:pStyle w:val="FootnoteText"/>
      </w:pPr>
      <w:r>
        <w:rPr>
          <w:rStyle w:val="FootnoteReference"/>
        </w:rPr>
        <w:footnoteRef/>
      </w:r>
      <w:r>
        <w:t xml:space="preserve"> </w:t>
      </w:r>
      <w:r>
        <w:t xml:space="preserve">Source:</w:t>
      </w:r>
      <w:r>
        <w:t xml:space="preserve"> </w:t>
      </w:r>
      <w:r>
        <w:t xml:space="preserve"> </w:t>
      </w:r>
      <w:r>
        <w:t xml:space="preserve">fields in the metrics JSON for the temporal-holdout split.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s://doi.org/10.1016/S0893-6080(05)80023-1" TargetMode="External" /><Relationship Type="http://schemas.openxmlformats.org/officeDocument/2006/relationships/hyperlink" Id="rId49" Target="https://doi.org/10.1145/1102351.1102430" TargetMode="External" /><Relationship Type="http://schemas.openxmlformats.org/officeDocument/2006/relationships/hyperlink" Id="rId46" Target="https://doi.org/10.1145/2939672.2939785" TargetMode="External" /><Relationship Type="http://schemas.openxmlformats.org/officeDocument/2006/relationships/hyperlink" Id="rId57" Target="https://doi.org/10.1177/0272989X06295361" TargetMode="External" /><Relationship Type="http://schemas.openxmlformats.org/officeDocument/2006/relationships/hyperlink" Id="rId53" Target="https://doi.org/10.1371/journal.pone.0118432" TargetMode="External" /><Relationship Type="http://schemas.openxmlformats.org/officeDocument/2006/relationships/hyperlink" Id="rId55" Target="https://help.sap.com/docs/SAP_S4HANA_ON-PREMISE" TargetMode="External" /></Relationships>
</file>

<file path=word/_rels/footnotes.xml.rels><?xml version="1.0" encoding="UTF-8"?><Relationships xmlns="http://schemas.openxmlformats.org/package/2006/relationships"><Relationship Type="http://schemas.openxmlformats.org/officeDocument/2006/relationships/hyperlink" Id="rId59" Target="https://doi.org/10.1016/S0893-6080(05)80023-1" TargetMode="External" /><Relationship Type="http://schemas.openxmlformats.org/officeDocument/2006/relationships/hyperlink" Id="rId49" Target="https://doi.org/10.1145/1102351.1102430" TargetMode="External" /><Relationship Type="http://schemas.openxmlformats.org/officeDocument/2006/relationships/hyperlink" Id="rId46" Target="https://doi.org/10.1145/2939672.2939785" TargetMode="External" /><Relationship Type="http://schemas.openxmlformats.org/officeDocument/2006/relationships/hyperlink" Id="rId57" Target="https://doi.org/10.1177/0272989X06295361" TargetMode="External" /><Relationship Type="http://schemas.openxmlformats.org/officeDocument/2006/relationships/hyperlink" Id="rId53" Target="https://doi.org/10.1371/journal.pone.0118432" TargetMode="External" /><Relationship Type="http://schemas.openxmlformats.org/officeDocument/2006/relationships/hyperlink" Id="rId55" Target="https://help.sap.com/docs/SAP_S4HANA_ON-PREMI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Backorder Risk for SAP Order Lines</dc:title>
  <dc:creator>Addy Cruz</dc:creator>
  <cp:keywords>backorder, supply chain, temporal validation, calibration, label maturity, deployment gating</cp:keywords>
  <dcterms:created xsi:type="dcterms:W3CDTF">2026-05-06T15:16:04Z</dcterms:created>
  <dcterms:modified xsi:type="dcterms:W3CDTF">2026-05-06T15:16:04Z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date">
    <vt:lpwstr>2026-05-05</vt:lpwstr>
  </property>
  <property fmtid="{D5CDD505-2E9C-101B-9397-08002B2CF9AE}" pid="9" name="fig-cap-location">
    <vt:lpwstr>bottom</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subtitle">
    <vt:lpwstr>Order-Time Classification and Honest Temporal Evaluation</vt:lpwstr>
  </property>
  <property fmtid="{D5CDD505-2E9C-101B-9397-08002B2CF9AE}" pid="15" name="tbl-cap-location">
    <vt:lpwstr>top</vt:lpwstr>
  </property>
  <property fmtid="{D5CDD505-2E9C-101B-9397-08002B2CF9AE}" pid="16" name="toc-title">
    <vt:lpwstr>Table of contents</vt:lpwstr>
  </property>
</Properties>
</file>