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A5" w:rsidRDefault="00A87D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6"/>
        <w:gridCol w:w="5740"/>
      </w:tblGrid>
      <w:tr w:rsidR="00A87DA5">
        <w:trPr>
          <w:trHeight w:val="1340"/>
        </w:trPr>
        <w:tc>
          <w:tcPr>
            <w:tcW w:w="3276" w:type="dxa"/>
            <w:tcBorders>
              <w:bottom w:val="single" w:sz="4" w:space="0" w:color="000000"/>
            </w:tcBorders>
          </w:tcPr>
          <w:p w:rsidR="00A87DA5" w:rsidRDefault="00206D86"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944577" cy="832757"/>
                  <wp:effectExtent l="0" t="0" r="0" b="0"/>
                  <wp:docPr id="2" name="image2.png" descr="logo SO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 SO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77" cy="832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0" w:type="dxa"/>
            <w:tcBorders>
              <w:bottom w:val="single" w:sz="4" w:space="0" w:color="000000"/>
            </w:tcBorders>
          </w:tcPr>
          <w:p w:rsidR="00A87DA5" w:rsidRDefault="00A87DA5">
            <w:pPr>
              <w:jc w:val="center"/>
            </w:pPr>
          </w:p>
          <w:p w:rsidR="00A87DA5" w:rsidRDefault="00206D86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BKAL 1013  PERAKAUNAN PERNIAGAAN</w:t>
            </w:r>
          </w:p>
          <w:p w:rsidR="00A87DA5" w:rsidRDefault="00A87DA5">
            <w:pPr>
              <w:jc w:val="center"/>
              <w:rPr>
                <w:rFonts w:ascii="Nunito" w:eastAsia="Nunito" w:hAnsi="Nunito" w:cs="Nunito"/>
                <w:b/>
              </w:rPr>
            </w:pPr>
          </w:p>
          <w:p w:rsidR="00A87DA5" w:rsidRDefault="00206D86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TUGASAN BERKUMPULAN</w:t>
            </w:r>
          </w:p>
        </w:tc>
      </w:tr>
    </w:tbl>
    <w:p w:rsidR="00A87DA5" w:rsidRDefault="00A87DA5"/>
    <w:p w:rsidR="00A87DA5" w:rsidRDefault="00206D86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SYARIKAT MAJU </w:t>
      </w:r>
      <w:proofErr w:type="spellStart"/>
      <w:r>
        <w:rPr>
          <w:sz w:val="24"/>
          <w:szCs w:val="24"/>
        </w:rPr>
        <w:t>memulakan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perniagaanya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Husna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September 2018.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Husna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Syarikat </w:t>
      </w:r>
      <w:proofErr w:type="spellStart"/>
      <w:r>
        <w:rPr>
          <w:sz w:val="24"/>
          <w:szCs w:val="24"/>
        </w:rPr>
        <w:t>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modal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peribadinya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RM60</w:t>
      </w:r>
      <w:proofErr w:type="gramStart"/>
      <w:r>
        <w:rPr>
          <w:sz w:val="24"/>
          <w:szCs w:val="24"/>
        </w:rPr>
        <w:t>,000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perniagaan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RM25,000. 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Husna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  1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Bayar </w:t>
            </w:r>
            <w:proofErr w:type="spellStart"/>
            <w:r>
              <w:rPr>
                <w:sz w:val="24"/>
                <w:szCs w:val="24"/>
              </w:rPr>
              <w:t>tiga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RM3</w:t>
            </w:r>
            <w:proofErr w:type="gramStart"/>
            <w:r w:rsidR="004D7152">
              <w:rPr>
                <w:sz w:val="24"/>
                <w:szCs w:val="24"/>
              </w:rPr>
              <w:t>,000</w:t>
            </w:r>
            <w:proofErr w:type="gramEnd"/>
            <w:r w:rsidR="004D7152">
              <w:rPr>
                <w:sz w:val="24"/>
                <w:szCs w:val="24"/>
              </w:rPr>
              <w:t xml:space="preserve"> </w:t>
            </w:r>
            <w:proofErr w:type="spellStart"/>
            <w:r w:rsidR="004D7152">
              <w:rPr>
                <w:sz w:val="24"/>
                <w:szCs w:val="24"/>
              </w:rPr>
              <w:t>bermula</w:t>
            </w:r>
            <w:proofErr w:type="spellEnd"/>
            <w:r w:rsidR="004D7152">
              <w:rPr>
                <w:sz w:val="24"/>
                <w:szCs w:val="24"/>
              </w:rPr>
              <w:t xml:space="preserve"> </w:t>
            </w:r>
            <w:proofErr w:type="spellStart"/>
            <w:r w:rsidR="004D7152">
              <w:rPr>
                <w:sz w:val="24"/>
                <w:szCs w:val="24"/>
              </w:rPr>
              <w:t>dari</w:t>
            </w:r>
            <w:proofErr w:type="spellEnd"/>
            <w:r w:rsidR="004D7152">
              <w:rPr>
                <w:sz w:val="24"/>
                <w:szCs w:val="24"/>
              </w:rPr>
              <w:t xml:space="preserve"> September 2018</w:t>
            </w:r>
            <w:r>
              <w:rPr>
                <w:sz w:val="24"/>
                <w:szCs w:val="24"/>
              </w:rPr>
              <w:t xml:space="preserve">. </w:t>
            </w:r>
          </w:p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perabot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ditempah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mempamerkan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baju-baju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bernilai</w:t>
            </w:r>
            <w:proofErr w:type="spellEnd"/>
            <w:r>
              <w:rPr>
                <w:sz w:val="24"/>
                <w:szCs w:val="24"/>
              </w:rPr>
              <w:t xml:space="preserve"> RM12</w:t>
            </w:r>
            <w:proofErr w:type="gramStart"/>
            <w:r>
              <w:rPr>
                <w:sz w:val="24"/>
                <w:szCs w:val="24"/>
              </w:rPr>
              <w:t>,000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PENGILANG BIOR </w:t>
            </w:r>
            <w:proofErr w:type="spellStart"/>
            <w:proofErr w:type="gram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 RM15,700</w:t>
            </w:r>
            <w:proofErr w:type="gramEnd"/>
            <w:r>
              <w:rPr>
                <w:sz w:val="24"/>
                <w:szCs w:val="24"/>
              </w:rPr>
              <w:t xml:space="preserve">, FOB </w:t>
            </w:r>
            <w:proofErr w:type="spellStart"/>
            <w:r>
              <w:rPr>
                <w:sz w:val="24"/>
                <w:szCs w:val="24"/>
              </w:rPr>
              <w:t>titik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perkapalan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terma</w:t>
            </w:r>
            <w:proofErr w:type="spellEnd"/>
            <w:r>
              <w:rPr>
                <w:sz w:val="24"/>
                <w:szCs w:val="24"/>
              </w:rPr>
              <w:t xml:space="preserve"> 5/15,n/30.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Bayar </w:t>
            </w:r>
            <w:proofErr w:type="spellStart"/>
            <w:r>
              <w:rPr>
                <w:sz w:val="24"/>
                <w:szCs w:val="24"/>
              </w:rPr>
              <w:t>kos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angkutan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PENGILANG </w:t>
            </w:r>
            <w:proofErr w:type="gramStart"/>
            <w:r>
              <w:rPr>
                <w:sz w:val="24"/>
                <w:szCs w:val="24"/>
              </w:rPr>
              <w:t xml:space="preserve">BIOR 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RM170.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niaga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 PEMBEKAL</w:t>
            </w:r>
            <w:proofErr w:type="gramEnd"/>
            <w:r>
              <w:rPr>
                <w:sz w:val="24"/>
                <w:szCs w:val="24"/>
              </w:rPr>
              <w:t xml:space="preserve"> BAJU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RM9,500. FOB </w:t>
            </w:r>
            <w:proofErr w:type="spellStart"/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</w:rPr>
              <w:t>tinasi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terma</w:t>
            </w:r>
            <w:proofErr w:type="spellEnd"/>
            <w:r>
              <w:rPr>
                <w:sz w:val="24"/>
                <w:szCs w:val="24"/>
              </w:rPr>
              <w:t xml:space="preserve"> 3/10</w:t>
            </w:r>
            <w:proofErr w:type="gramStart"/>
            <w:r>
              <w:rPr>
                <w:sz w:val="24"/>
                <w:szCs w:val="24"/>
              </w:rPr>
              <w:t>,n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eom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RM12</w:t>
            </w:r>
            <w:proofErr w:type="gramStart"/>
            <w:r>
              <w:rPr>
                <w:sz w:val="24"/>
                <w:szCs w:val="24"/>
              </w:rPr>
              <w:t>,900</w:t>
            </w:r>
            <w:proofErr w:type="gramEnd"/>
            <w:r>
              <w:rPr>
                <w:sz w:val="24"/>
                <w:szCs w:val="24"/>
              </w:rPr>
              <w:t xml:space="preserve">. Kos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RM6</w:t>
            </w:r>
            <w:proofErr w:type="gramStart"/>
            <w:r>
              <w:rPr>
                <w:sz w:val="24"/>
                <w:szCs w:val="24"/>
              </w:rPr>
              <w:t>,865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Memulangkan</w:t>
            </w:r>
            <w:proofErr w:type="spellEnd"/>
            <w:r>
              <w:rPr>
                <w:sz w:val="24"/>
                <w:szCs w:val="24"/>
              </w:rPr>
              <w:t xml:space="preserve"> 5 </w:t>
            </w:r>
            <w:proofErr w:type="spellStart"/>
            <w:r>
              <w:rPr>
                <w:sz w:val="24"/>
                <w:szCs w:val="24"/>
              </w:rPr>
              <w:t>pasang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baju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PEMBEKAL BAJU, </w:t>
            </w:r>
            <w:proofErr w:type="spellStart"/>
            <w:r>
              <w:rPr>
                <w:sz w:val="24"/>
                <w:szCs w:val="24"/>
              </w:rPr>
              <w:t>kos</w:t>
            </w:r>
            <w:proofErr w:type="spellEnd"/>
            <w:r>
              <w:rPr>
                <w:sz w:val="24"/>
                <w:szCs w:val="24"/>
              </w:rPr>
              <w:t xml:space="preserve"> RM1</w:t>
            </w:r>
            <w:proofErr w:type="gramStart"/>
            <w:r>
              <w:rPr>
                <w:sz w:val="24"/>
                <w:szCs w:val="24"/>
              </w:rPr>
              <w:t>,500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berjumlah</w:t>
            </w:r>
            <w:proofErr w:type="spellEnd"/>
            <w:r>
              <w:rPr>
                <w:sz w:val="24"/>
                <w:szCs w:val="24"/>
              </w:rPr>
              <w:t xml:space="preserve"> RM5</w:t>
            </w:r>
            <w:proofErr w:type="gramStart"/>
            <w:r>
              <w:rPr>
                <w:sz w:val="24"/>
                <w:szCs w:val="24"/>
              </w:rPr>
              <w:t>,500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TOP GAL CENTRE. </w:t>
            </w:r>
            <w:proofErr w:type="spellStart"/>
            <w:r>
              <w:rPr>
                <w:sz w:val="24"/>
                <w:szCs w:val="24"/>
              </w:rPr>
              <w:t>Terma</w:t>
            </w:r>
            <w:proofErr w:type="spellEnd"/>
            <w:r>
              <w:rPr>
                <w:sz w:val="24"/>
                <w:szCs w:val="24"/>
              </w:rPr>
              <w:t xml:space="preserve"> 5/10, n/30. K</w:t>
            </w:r>
            <w:r>
              <w:rPr>
                <w:sz w:val="24"/>
                <w:szCs w:val="24"/>
              </w:rPr>
              <w:t xml:space="preserve">os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bernilai</w:t>
            </w:r>
            <w:proofErr w:type="spellEnd"/>
            <w:r>
              <w:rPr>
                <w:sz w:val="24"/>
                <w:szCs w:val="24"/>
              </w:rPr>
              <w:t xml:space="preserve"> RM2</w:t>
            </w:r>
            <w:proofErr w:type="gramStart"/>
            <w:r>
              <w:rPr>
                <w:sz w:val="24"/>
                <w:szCs w:val="24"/>
              </w:rPr>
              <w:t>,420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Bayar PENGILANG BIOR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2 September.  </w:t>
            </w:r>
          </w:p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Husna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sehelai</w:t>
            </w:r>
            <w:proofErr w:type="spellEnd"/>
            <w:r>
              <w:rPr>
                <w:sz w:val="24"/>
                <w:szCs w:val="24"/>
              </w:rPr>
              <w:t xml:space="preserve"> skirt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bernilai</w:t>
            </w:r>
            <w:proofErr w:type="spellEnd"/>
            <w:r>
              <w:rPr>
                <w:sz w:val="24"/>
                <w:szCs w:val="24"/>
              </w:rPr>
              <w:t xml:space="preserve"> RM1</w:t>
            </w:r>
            <w:proofErr w:type="gramStart"/>
            <w:r>
              <w:rPr>
                <w:sz w:val="24"/>
                <w:szCs w:val="24"/>
              </w:rPr>
              <w:t>,500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anaknya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Memperolehi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pinjaman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BIB BANK BERHAD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RM30</w:t>
            </w:r>
            <w:proofErr w:type="gramStart"/>
            <w:r>
              <w:rPr>
                <w:sz w:val="24"/>
                <w:szCs w:val="24"/>
              </w:rPr>
              <w:t>,000</w:t>
            </w:r>
            <w:proofErr w:type="gramEnd"/>
            <w:r>
              <w:rPr>
                <w:sz w:val="24"/>
                <w:szCs w:val="24"/>
              </w:rPr>
              <w:t xml:space="preserve">.  </w:t>
            </w:r>
            <w:proofErr w:type="spellStart"/>
            <w:r>
              <w:rPr>
                <w:sz w:val="24"/>
                <w:szCs w:val="24"/>
              </w:rPr>
              <w:t>Tempoh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pinjaman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5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berkos</w:t>
            </w:r>
            <w:proofErr w:type="spellEnd"/>
            <w:r>
              <w:rPr>
                <w:sz w:val="24"/>
                <w:szCs w:val="24"/>
              </w:rPr>
              <w:t xml:space="preserve"> RM1</w:t>
            </w:r>
            <w:proofErr w:type="gramStart"/>
            <w:r>
              <w:rPr>
                <w:sz w:val="24"/>
                <w:szCs w:val="24"/>
              </w:rPr>
              <w:t>,200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YELOW WORLD </w:t>
            </w:r>
            <w:proofErr w:type="spellStart"/>
            <w:r>
              <w:rPr>
                <w:sz w:val="24"/>
                <w:szCs w:val="24"/>
              </w:rPr>
              <w:t>berjumlah</w:t>
            </w:r>
            <w:proofErr w:type="spellEnd"/>
            <w:r>
              <w:rPr>
                <w:sz w:val="24"/>
                <w:szCs w:val="24"/>
              </w:rPr>
              <w:t xml:space="preserve"> RM4,000. </w:t>
            </w:r>
            <w:proofErr w:type="spellStart"/>
            <w:r>
              <w:rPr>
                <w:sz w:val="24"/>
                <w:szCs w:val="24"/>
              </w:rPr>
              <w:t>Terma</w:t>
            </w:r>
            <w:proofErr w:type="spellEnd"/>
            <w:r>
              <w:rPr>
                <w:sz w:val="24"/>
                <w:szCs w:val="24"/>
              </w:rPr>
              <w:t xml:space="preserve"> 5/10, n/30.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Bayar </w:t>
            </w:r>
            <w:proofErr w:type="spellStart"/>
            <w:r>
              <w:rPr>
                <w:sz w:val="24"/>
                <w:szCs w:val="24"/>
              </w:rPr>
              <w:t>hutang</w:t>
            </w:r>
            <w:proofErr w:type="spellEnd"/>
            <w:r>
              <w:rPr>
                <w:sz w:val="24"/>
                <w:szCs w:val="24"/>
              </w:rPr>
              <w:t xml:space="preserve"> PEMBEKAL BAJU </w:t>
            </w:r>
            <w:proofErr w:type="spellStart"/>
            <w:r>
              <w:rPr>
                <w:sz w:val="24"/>
                <w:szCs w:val="24"/>
              </w:rPr>
              <w:t>sepenuhnya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</w:p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TOP GAL CENTRE </w:t>
            </w:r>
            <w:proofErr w:type="spellStart"/>
            <w:r>
              <w:rPr>
                <w:sz w:val="24"/>
                <w:szCs w:val="24"/>
              </w:rPr>
              <w:t>sepenuhnya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FABRIC TRADING </w:t>
            </w:r>
            <w:proofErr w:type="spellStart"/>
            <w:r>
              <w:rPr>
                <w:sz w:val="24"/>
                <w:szCs w:val="24"/>
              </w:rPr>
              <w:t>berjumlah</w:t>
            </w:r>
            <w:proofErr w:type="spellEnd"/>
            <w:r>
              <w:rPr>
                <w:sz w:val="24"/>
                <w:szCs w:val="24"/>
              </w:rPr>
              <w:t xml:space="preserve"> RM4</w:t>
            </w:r>
            <w:proofErr w:type="gramStart"/>
            <w:r>
              <w:rPr>
                <w:sz w:val="24"/>
                <w:szCs w:val="24"/>
              </w:rPr>
              <w:t>,070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tunai</w:t>
            </w:r>
            <w:proofErr w:type="spellEnd"/>
            <w:r>
              <w:rPr>
                <w:sz w:val="24"/>
                <w:szCs w:val="24"/>
              </w:rPr>
              <w:t xml:space="preserve">.  Kos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jual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RM2</w:t>
            </w:r>
            <w:proofErr w:type="gramStart"/>
            <w:r>
              <w:rPr>
                <w:sz w:val="24"/>
                <w:szCs w:val="24"/>
              </w:rPr>
              <w:t>,400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PENGILANG BIOR for RM5</w:t>
            </w:r>
            <w:proofErr w:type="gramStart"/>
            <w:r>
              <w:rPr>
                <w:sz w:val="24"/>
                <w:szCs w:val="24"/>
              </w:rPr>
              <w:t>,900</w:t>
            </w:r>
            <w:proofErr w:type="gramEnd"/>
            <w:r>
              <w:rPr>
                <w:sz w:val="24"/>
                <w:szCs w:val="24"/>
              </w:rPr>
              <w:t>, FOB shipping point, terms 2/10</w:t>
            </w:r>
            <w:r>
              <w:rPr>
                <w:sz w:val="24"/>
                <w:szCs w:val="24"/>
              </w:rPr>
              <w:t xml:space="preserve">,n/30.  Bayar </w:t>
            </w:r>
            <w:proofErr w:type="spellStart"/>
            <w:r>
              <w:rPr>
                <w:sz w:val="24"/>
                <w:szCs w:val="24"/>
              </w:rPr>
              <w:t>kos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angkutan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RM140.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Bayar RM1</w:t>
            </w:r>
            <w:proofErr w:type="gramStart"/>
            <w:r>
              <w:rPr>
                <w:sz w:val="24"/>
                <w:szCs w:val="24"/>
              </w:rPr>
              <w:t>,970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SYARIKAT FABRIC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TRADING for merchandise returned costing RM790.</w:t>
            </w:r>
          </w:p>
        </w:tc>
      </w:tr>
      <w:tr w:rsidR="00A87DA5">
        <w:tc>
          <w:tcPr>
            <w:tcW w:w="1170" w:type="dxa"/>
          </w:tcPr>
          <w:p w:rsidR="00A87DA5" w:rsidRDefault="00206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Bayar </w:t>
            </w:r>
            <w:proofErr w:type="spellStart"/>
            <w:r>
              <w:rPr>
                <w:sz w:val="24"/>
                <w:szCs w:val="24"/>
              </w:rPr>
              <w:t>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berjumlah</w:t>
            </w:r>
            <w:proofErr w:type="spellEnd"/>
            <w:r>
              <w:rPr>
                <w:sz w:val="24"/>
                <w:szCs w:val="24"/>
              </w:rPr>
              <w:t xml:space="preserve"> RM350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RM3</w:t>
            </w:r>
            <w:proofErr w:type="gramStart"/>
            <w:r>
              <w:rPr>
                <w:sz w:val="24"/>
                <w:szCs w:val="24"/>
              </w:rPr>
              <w:t>,700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87DA5">
        <w:tc>
          <w:tcPr>
            <w:tcW w:w="1170" w:type="dxa"/>
          </w:tcPr>
          <w:p w:rsidR="00A87DA5" w:rsidRDefault="004D71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46" w:type="dxa"/>
          </w:tcPr>
          <w:p w:rsidR="00A87DA5" w:rsidRDefault="00206D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insurans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bermula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2018 </w:t>
            </w:r>
            <w:proofErr w:type="spellStart"/>
            <w:r>
              <w:rPr>
                <w:sz w:val="24"/>
                <w:szCs w:val="24"/>
              </w:rPr>
              <w:t>sebanyak</w:t>
            </w:r>
            <w:proofErr w:type="spellEnd"/>
            <w:r>
              <w:rPr>
                <w:sz w:val="24"/>
                <w:szCs w:val="24"/>
              </w:rPr>
              <w:t xml:space="preserve"> RM2,400.</w:t>
            </w:r>
          </w:p>
        </w:tc>
      </w:tr>
    </w:tbl>
    <w:p w:rsidR="00A87DA5" w:rsidRDefault="00A87DA5">
      <w:pPr>
        <w:rPr>
          <w:sz w:val="24"/>
          <w:szCs w:val="24"/>
        </w:rPr>
      </w:pPr>
    </w:p>
    <w:p w:rsidR="00A87DA5" w:rsidRDefault="00206D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pelarasan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: </w:t>
      </w:r>
    </w:p>
    <w:p w:rsidR="00A87DA5" w:rsidRDefault="00206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Belanja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September;</w:t>
      </w:r>
    </w:p>
    <w:p w:rsidR="00A87DA5" w:rsidRDefault="00206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Kenderaan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perlu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disusutnilai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kadar</w:t>
      </w:r>
      <w:proofErr w:type="spellEnd"/>
      <w:r>
        <w:rPr>
          <w:color w:val="000000"/>
          <w:sz w:val="24"/>
          <w:szCs w:val="24"/>
        </w:rPr>
        <w:t xml:space="preserve"> 20% </w:t>
      </w:r>
      <w:proofErr w:type="spellStart"/>
      <w:r>
        <w:rPr>
          <w:color w:val="000000"/>
          <w:sz w:val="24"/>
          <w:szCs w:val="24"/>
        </w:rPr>
        <w:t>setahun</w:t>
      </w:r>
      <w:proofErr w:type="spellEnd"/>
      <w:r>
        <w:rPr>
          <w:color w:val="000000"/>
          <w:sz w:val="24"/>
          <w:szCs w:val="24"/>
        </w:rPr>
        <w:t>;</w:t>
      </w:r>
    </w:p>
    <w:p w:rsidR="00A87DA5" w:rsidRDefault="00206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Perabot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disusutnilai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kadar</w:t>
      </w:r>
      <w:proofErr w:type="spellEnd"/>
      <w:r>
        <w:rPr>
          <w:color w:val="000000"/>
          <w:sz w:val="24"/>
          <w:szCs w:val="24"/>
        </w:rPr>
        <w:t xml:space="preserve"> 10% </w:t>
      </w:r>
      <w:proofErr w:type="spellStart"/>
      <w:r>
        <w:rPr>
          <w:color w:val="000000"/>
          <w:sz w:val="24"/>
          <w:szCs w:val="24"/>
        </w:rPr>
        <w:t>setahun</w:t>
      </w:r>
      <w:proofErr w:type="spellEnd"/>
      <w:r>
        <w:rPr>
          <w:color w:val="000000"/>
          <w:sz w:val="24"/>
          <w:szCs w:val="24"/>
        </w:rPr>
        <w:t xml:space="preserve">;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</w:p>
    <w:p w:rsidR="00A87DA5" w:rsidRDefault="00206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Sejumlah</w:t>
      </w:r>
      <w:proofErr w:type="spellEnd"/>
      <w:r>
        <w:rPr>
          <w:color w:val="000000"/>
          <w:sz w:val="24"/>
          <w:szCs w:val="24"/>
        </w:rPr>
        <w:t xml:space="preserve"> RM500 </w:t>
      </w:r>
      <w:proofErr w:type="spellStart"/>
      <w:r>
        <w:rPr>
          <w:color w:val="000000"/>
          <w:sz w:val="24"/>
          <w:szCs w:val="24"/>
        </w:rPr>
        <w:t>daripada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gaji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dibayar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akhir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>.</w:t>
      </w:r>
    </w:p>
    <w:p w:rsidR="00A87DA5" w:rsidRDefault="00A87DA5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4"/>
          <w:szCs w:val="24"/>
        </w:rPr>
      </w:pPr>
    </w:p>
    <w:p w:rsidR="00A87DA5" w:rsidRDefault="00206D86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ANDA DIKEHENDAKI UNTUK: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Jurnalkan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transaksi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catatan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pelarasan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jurnal</w:t>
      </w:r>
      <w:proofErr w:type="spellEnd"/>
      <w:r>
        <w:rPr>
          <w:color w:val="000000"/>
          <w:sz w:val="24"/>
          <w:szCs w:val="24"/>
        </w:rPr>
        <w:t xml:space="preserve"> am.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Memindahcatatkan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catatan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jurnal</w:t>
      </w:r>
      <w:proofErr w:type="spellEnd"/>
      <w:r>
        <w:rPr>
          <w:color w:val="000000"/>
          <w:sz w:val="24"/>
          <w:szCs w:val="24"/>
        </w:rPr>
        <w:t xml:space="preserve"> am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lejer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Menyediakan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terlaras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September 2018.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Menyediakan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Penyata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lain-lain </w:t>
      </w:r>
      <w:proofErr w:type="spellStart"/>
      <w:r>
        <w:rPr>
          <w:color w:val="000000"/>
          <w:sz w:val="24"/>
          <w:szCs w:val="24"/>
        </w:rPr>
        <w:t>Pendapatan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Komprehensif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September 2018.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Menyediakan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Penyata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Ekuiti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September 2018.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Menyediakan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Penyata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Keduduk</w:t>
      </w:r>
      <w:r>
        <w:rPr>
          <w:color w:val="000000"/>
          <w:sz w:val="24"/>
          <w:szCs w:val="24"/>
        </w:rPr>
        <w:t>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Kewangan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akhir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September 2018.</w:t>
      </w:r>
    </w:p>
    <w:p w:rsidR="00A87DA5" w:rsidRDefault="00206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Sediakan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bulanan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mengenai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perkara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bawah</w:t>
      </w:r>
      <w:proofErr w:type="spellEnd"/>
      <w:r>
        <w:rPr>
          <w:color w:val="000000"/>
          <w:sz w:val="24"/>
          <w:szCs w:val="24"/>
        </w:rPr>
        <w:t>:</w:t>
      </w:r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Nisbah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Semasa</w:t>
      </w:r>
      <w:proofErr w:type="spellEnd"/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Nisbah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Cepat</w:t>
      </w:r>
      <w:proofErr w:type="spellEnd"/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Pusing-ganti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Aset</w:t>
      </w:r>
      <w:proofErr w:type="spellEnd"/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Margin </w:t>
      </w:r>
      <w:proofErr w:type="spellStart"/>
      <w:r>
        <w:rPr>
          <w:color w:val="000000"/>
          <w:sz w:val="24"/>
          <w:szCs w:val="24"/>
        </w:rPr>
        <w:t>Untung</w:t>
      </w:r>
      <w:proofErr w:type="spellEnd"/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Pulangan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Aset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A87DA5" w:rsidRDefault="00206D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Pulangan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Ekuiti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A87DA5" w:rsidRDefault="00A87DA5">
      <w:pPr>
        <w:rPr>
          <w:sz w:val="24"/>
          <w:szCs w:val="24"/>
        </w:rPr>
      </w:pPr>
    </w:p>
    <w:p w:rsidR="00A87DA5" w:rsidRDefault="00206D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carta </w:t>
      </w:r>
      <w:proofErr w:type="spellStart"/>
      <w:r>
        <w:rPr>
          <w:sz w:val="24"/>
          <w:szCs w:val="24"/>
        </w:rPr>
        <w:t>akaun</w:t>
      </w:r>
      <w:proofErr w:type="spellEnd"/>
      <w:r>
        <w:rPr>
          <w:sz w:val="24"/>
          <w:szCs w:val="24"/>
        </w:rPr>
        <w:t xml:space="preserve"> yan</w:t>
      </w:r>
      <w:r w:rsidR="004D7152">
        <w:rPr>
          <w:sz w:val="24"/>
          <w:szCs w:val="24"/>
        </w:rPr>
        <w:t xml:space="preserve">g </w:t>
      </w:r>
      <w:proofErr w:type="spellStart"/>
      <w:r w:rsidR="004D7152">
        <w:rPr>
          <w:sz w:val="24"/>
          <w:szCs w:val="24"/>
        </w:rPr>
        <w:t>digunakan</w:t>
      </w:r>
      <w:proofErr w:type="spellEnd"/>
      <w:r w:rsidR="004D7152">
        <w:rPr>
          <w:sz w:val="24"/>
          <w:szCs w:val="24"/>
        </w:rPr>
        <w:t xml:space="preserve"> </w:t>
      </w:r>
      <w:proofErr w:type="spellStart"/>
      <w:r w:rsidR="004D7152">
        <w:rPr>
          <w:sz w:val="24"/>
          <w:szCs w:val="24"/>
        </w:rPr>
        <w:t>oleh</w:t>
      </w:r>
      <w:proofErr w:type="spellEnd"/>
      <w:r w:rsidR="004D7152">
        <w:rPr>
          <w:sz w:val="24"/>
          <w:szCs w:val="24"/>
        </w:rPr>
        <w:t xml:space="preserve"> </w:t>
      </w:r>
      <w:proofErr w:type="spellStart"/>
      <w:r w:rsidR="004D7152">
        <w:rPr>
          <w:sz w:val="24"/>
          <w:szCs w:val="24"/>
        </w:rPr>
        <w:t>Butik</w:t>
      </w:r>
      <w:proofErr w:type="spellEnd"/>
      <w:r w:rsidR="004D7152">
        <w:rPr>
          <w:sz w:val="24"/>
          <w:szCs w:val="24"/>
        </w:rPr>
        <w:t xml:space="preserve"> Husna</w:t>
      </w:r>
      <w:bookmarkStart w:id="0" w:name="_GoBack"/>
      <w:bookmarkEnd w:id="0"/>
      <w:r>
        <w:rPr>
          <w:sz w:val="24"/>
          <w:szCs w:val="24"/>
        </w:rPr>
        <w:t xml:space="preserve"> :</w:t>
      </w:r>
    </w:p>
    <w:tbl>
      <w:tblPr>
        <w:tblStyle w:val="a1"/>
        <w:tblW w:w="8856" w:type="dxa"/>
        <w:tblLayout w:type="fixed"/>
        <w:tblLook w:val="0000" w:firstRow="0" w:lastRow="0" w:firstColumn="0" w:lastColumn="0" w:noHBand="0" w:noVBand="0"/>
      </w:tblPr>
      <w:tblGrid>
        <w:gridCol w:w="725"/>
        <w:gridCol w:w="3523"/>
        <w:gridCol w:w="720"/>
        <w:gridCol w:w="3888"/>
      </w:tblGrid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No.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Deskripsi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Akaun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No.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Deskripsi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Akaun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</w:t>
            </w:r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Terima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Ambilan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Jualan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Prabayar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Elaun</w:t>
            </w:r>
            <w:proofErr w:type="spellEnd"/>
          </w:p>
        </w:tc>
      </w:tr>
      <w:tr w:rsidR="00A87DA5">
        <w:trPr>
          <w:trHeight w:val="280"/>
        </w:trPr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prabayar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Kos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DiJual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Perabot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Jualan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Susutnilai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Terkumpul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Perabot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711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Susutnilai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Perabot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Kenderaan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Susutnilai</w:t>
            </w:r>
            <w:proofErr w:type="spellEnd"/>
            <w:r>
              <w:rPr>
                <w:sz w:val="24"/>
                <w:szCs w:val="24"/>
              </w:rPr>
              <w:t xml:space="preserve"> –</w:t>
            </w:r>
            <w:proofErr w:type="spellStart"/>
            <w:r>
              <w:rPr>
                <w:sz w:val="24"/>
                <w:szCs w:val="24"/>
              </w:rPr>
              <w:t>Kenderaan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Susutnilai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Terkumpul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Kenderaan</w:t>
            </w:r>
            <w:proofErr w:type="spellEnd"/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Insurans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Bayar</w:t>
            </w:r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725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Bayar</w:t>
            </w:r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87DA5">
        <w:tc>
          <w:tcPr>
            <w:tcW w:w="725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</w:tc>
        <w:tc>
          <w:tcPr>
            <w:tcW w:w="3523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Pinjaman</w:t>
            </w:r>
            <w:proofErr w:type="spellEnd"/>
            <w:r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720" w:type="dxa"/>
          </w:tcPr>
          <w:p w:rsidR="00A87DA5" w:rsidRDefault="00206D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730</w:t>
            </w:r>
          </w:p>
        </w:tc>
        <w:tc>
          <w:tcPr>
            <w:tcW w:w="3888" w:type="dxa"/>
          </w:tcPr>
          <w:p w:rsidR="00A87DA5" w:rsidRDefault="00206D8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</w:p>
        </w:tc>
      </w:tr>
    </w:tbl>
    <w:p w:rsidR="00A87DA5" w:rsidRDefault="00A87DA5">
      <w:pPr>
        <w:rPr>
          <w:sz w:val="24"/>
          <w:szCs w:val="24"/>
        </w:rPr>
      </w:pPr>
    </w:p>
    <w:p w:rsidR="00A87DA5" w:rsidRDefault="00A87DA5">
      <w:pPr>
        <w:jc w:val="center"/>
        <w:rPr>
          <w:sz w:val="24"/>
          <w:szCs w:val="24"/>
        </w:rPr>
      </w:pPr>
    </w:p>
    <w:p w:rsidR="00A87DA5" w:rsidRDefault="00206D86">
      <w:pPr>
        <w:jc w:val="both"/>
        <w:rPr>
          <w:sz w:val="24"/>
          <w:szCs w:val="24"/>
        </w:rPr>
      </w:pPr>
      <w:bookmarkStart w:id="1" w:name="_gjdgxs" w:colFirst="0" w:colLast="0"/>
      <w:bookmarkEnd w:id="1"/>
      <w:proofErr w:type="spellStart"/>
      <w:r>
        <w:rPr>
          <w:sz w:val="24"/>
          <w:szCs w:val="24"/>
        </w:rPr>
        <w:t>Tarikh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1 November 2018 </w:t>
      </w:r>
    </w:p>
    <w:p w:rsidR="00A87DA5" w:rsidRDefault="00206D8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~~~ TAMAT ~~~</w:t>
      </w:r>
    </w:p>
    <w:p w:rsidR="00A87DA5" w:rsidRDefault="00206D86">
      <w:pPr>
        <w:jc w:val="right"/>
        <w:rPr>
          <w:rFonts w:ascii="Courgette" w:eastAsia="Courgette" w:hAnsi="Courgette" w:cs="Courgette"/>
          <w:sz w:val="20"/>
          <w:szCs w:val="20"/>
        </w:rPr>
      </w:pPr>
      <w:r>
        <w:rPr>
          <w:rFonts w:ascii="Courgette" w:eastAsia="Courgette" w:hAnsi="Courgette" w:cs="Courgette"/>
          <w:sz w:val="20"/>
          <w:szCs w:val="20"/>
        </w:rPr>
        <w:t>ROOMsept2013</w:t>
      </w:r>
    </w:p>
    <w:sectPr w:rsidR="00A87DA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86" w:rsidRDefault="00206D86">
      <w:pPr>
        <w:spacing w:after="0" w:line="240" w:lineRule="auto"/>
      </w:pPr>
      <w:r>
        <w:separator/>
      </w:r>
    </w:p>
  </w:endnote>
  <w:endnote w:type="continuationSeparator" w:id="0">
    <w:p w:rsidR="00206D86" w:rsidRDefault="0020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Times New Roman"/>
    <w:charset w:val="00"/>
    <w:family w:val="auto"/>
    <w:pitch w:val="default"/>
  </w:font>
  <w:font w:name="Courgett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DA5" w:rsidRDefault="00206D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D7152">
      <w:rPr>
        <w:color w:val="000000"/>
      </w:rPr>
      <w:fldChar w:fldCharType="separate"/>
    </w:r>
    <w:r w:rsidR="004D7152">
      <w:rPr>
        <w:noProof/>
        <w:color w:val="000000"/>
      </w:rPr>
      <w:t>1</w:t>
    </w:r>
    <w:r>
      <w:rPr>
        <w:color w:val="000000"/>
      </w:rPr>
      <w:fldChar w:fldCharType="end"/>
    </w:r>
  </w:p>
  <w:p w:rsidR="00A87DA5" w:rsidRDefault="00A87D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86" w:rsidRDefault="00206D86">
      <w:pPr>
        <w:spacing w:after="0" w:line="240" w:lineRule="auto"/>
      </w:pPr>
      <w:r>
        <w:separator/>
      </w:r>
    </w:p>
  </w:footnote>
  <w:footnote w:type="continuationSeparator" w:id="0">
    <w:p w:rsidR="00206D86" w:rsidRDefault="00206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DA5" w:rsidRDefault="00206D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Group 20</w:t>
    </w:r>
  </w:p>
  <w:p w:rsidR="00A87DA5" w:rsidRDefault="00A87D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4B1C"/>
    <w:multiLevelType w:val="multilevel"/>
    <w:tmpl w:val="5E9875F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46677"/>
    <w:multiLevelType w:val="multilevel"/>
    <w:tmpl w:val="6C2C5B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33310E"/>
    <w:multiLevelType w:val="multilevel"/>
    <w:tmpl w:val="512EA5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7DA5"/>
    <w:rsid w:val="00176D83"/>
    <w:rsid w:val="00206D86"/>
    <w:rsid w:val="004D7152"/>
    <w:rsid w:val="00A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F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35"/>
  </w:style>
  <w:style w:type="paragraph" w:styleId="Footer">
    <w:name w:val="footer"/>
    <w:basedOn w:val="Normal"/>
    <w:link w:val="Foot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3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F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35"/>
  </w:style>
  <w:style w:type="paragraph" w:styleId="Footer">
    <w:name w:val="footer"/>
    <w:basedOn w:val="Normal"/>
    <w:link w:val="Foot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3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AzimahNasir</dc:creator>
  <cp:lastModifiedBy>AzimahNasir</cp:lastModifiedBy>
  <cp:revision>2</cp:revision>
  <dcterms:created xsi:type="dcterms:W3CDTF">2018-08-30T12:44:00Z</dcterms:created>
  <dcterms:modified xsi:type="dcterms:W3CDTF">2018-08-30T12:44:00Z</dcterms:modified>
</cp:coreProperties>
</file>