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93979"/>
          <w:spacing w:val="40"/>
          <w:sz w:val="18"/>
          <w:szCs w:val="18"/>
        </w:rPr>
        <w:t xml:space="preserve">UNIVERSIDAD DE MONTEVIDEO</w:t>
      </w:r>
      <w:r>
        <w:rPr>
          <w:color w:val="6B7A90"/>
          <w:sz w:val="18"/>
          <w:szCs w:val="18"/>
        </w:rPr>
        <w:t xml:space="preserve">   ·   Posgrados de Ingeniería</w:t>
      </w:r>
    </w:p>
    <w:p>
      <w:pPr>
        <w:pBdr>
          <w:bottom w:val="single" w:color="2BCDF8" w:sz="18" w:space="6"/>
        </w:pBdr>
        <w:spacing w:after="360"/>
      </w:pPr>
      <w:r>
        <w:rPr>
          <w:color w:val="6B7A90"/>
          <w:sz w:val="17"/>
          <w:szCs w:val="17"/>
        </w:rPr>
        <w:t xml:space="preserve">Maestría en Ciberseguridad y Gestión de Riesgos Tecnológicos · CIBER13 · Módulo 4: Seguridad en redes y sistemas operativos</w:t>
      </w:r>
    </w:p>
    <w:p>
      <w:pPr>
        <w:spacing w:after="100"/>
      </w:pPr>
      <w:r>
        <w:rPr>
          <w:b/>
          <w:bCs/>
          <w:color w:val="093979"/>
          <w:sz w:val="44"/>
          <w:szCs w:val="44"/>
        </w:rPr>
        <w:t xml:space="preserve">Lo innegociable de las clases 1 a 3</w:t>
      </w:r>
    </w:p>
    <w:p>
      <w:pPr>
        <w:spacing w:after="280"/>
      </w:pPr>
      <w:r>
        <w:rPr>
          <w:color w:val="6B7A90"/>
          <w:sz w:val="20"/>
          <w:szCs w:val="20"/>
        </w:rPr>
        <w:t xml:space="preserve">Los nueve puntos de base que vas a necesitar en la prueba final y en el Runbook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CDF8" w:sz="36"/>
              <w:bottom w:val="none" w:color="FFFFFF" w:sz="0"/>
              <w:right w:val="none" w:color="FFFFFF" w:sz="0"/>
            </w:tcBorders>
            <w:shd w:fill="EEF4FB" w:color="auto" w:val="clear"/>
            <w:tcMar>
              <w:top w:type="dxa" w:w="140"/>
              <w:left w:type="dxa" w:w="240"/>
              <w:bottom w:type="dxa" w:w="140"/>
              <w:right w:type="dxa" w:w="200"/>
            </w:tcMar>
          </w:tcPr>
          <w:p>
            <w:pPr>
              <w:spacing w:after="100"/>
            </w:pPr>
            <w:r>
              <w:t xml:space="preserve">Desde la clase 4 cada sesión abre diciendo qué es innegociable, máximo tres cosas. </w:t>
            </w:r>
            <w:r>
              <w:rPr>
                <w:b/>
                <w:bCs/>
                <w:color w:val="093979"/>
              </w:rPr>
              <w:t xml:space="preserve">Las clases 1 a 3 no lo tuvieron, y eso fue un error del curso, no de ustedes.</w:t>
            </w:r>
            <w:r>
              <w:t xml:space="preserve"> Aquí está lo que faltó.</w:t>
            </w:r>
          </w:p>
          <w:p>
            <w:pPr>
              <w:spacing w:after="0"/>
            </w:pPr>
            <w:r>
              <w:t xml:space="preserve">Innegociable significa: lo vas a necesitar en la prueba final y en el resto del Runbook. Todo lo demás de esas clases fue contexto o profundización.</w:t>
            </w:r>
          </w:p>
        </w:tc>
      </w:tr>
    </w:tbl>
    <w:p>
      <w:pPr>
        <w:pStyle w:val="Heading1"/>
      </w:pPr>
      <w:r>
        <w:t xml:space="preserve">Clase 1 · Principios de ciberseguridad y DIE</w:t>
      </w:r>
    </w:p>
    <w:p>
      <w:pPr>
        <w:pStyle w:val="Heading3"/>
      </w:pPr>
      <w:r>
        <w:t xml:space="preserve">1. Los cinco principios</w:t>
      </w:r>
    </w:p>
    <w:p>
      <w:pPr>
        <w:spacing w:after="120" w:line="288"/>
      </w:pPr>
      <w:r>
        <w:t xml:space="preserve">Confidencialidad, Integridad, Disponibilidad, No repudio y Trazabilidad. Debes poder leer un incidente y decir qué principio se comprometió.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38"/>
      </w:tblGrid>
      <w:tr>
        <w:trPr>
          <w:cantSplit/>
          <w:tblHeader/>
        </w:trPr>
        <w:tc>
          <w:tcPr>
            <w:tcW w:type="dxa" w:w="2200"/>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Principio</w:t>
            </w:r>
          </w:p>
        </w:tc>
        <w:tc>
          <w:tcPr>
            <w:tcW w:type="dxa" w:w="3900"/>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Se compromete cuando…</w:t>
            </w:r>
          </w:p>
        </w:tc>
        <w:tc>
          <w:tcPr>
            <w:tcW w:type="dxa" w:w="3538"/>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Ejemplo</w:t>
            </w:r>
          </w:p>
        </w:tc>
      </w:tr>
      <w:tr>
        <w:trPr>
          <w:cantSplit/>
        </w:trPr>
        <w:tc>
          <w:tcPr>
            <w:tcW w:type="dxa" w:w="22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Confidencialidad</w:t>
            </w:r>
          </w:p>
        </w:tc>
        <w:tc>
          <w:tcPr>
            <w:tcW w:type="dxa" w:w="39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Alguien no autorizado ve la información</w:t>
            </w:r>
          </w:p>
        </w:tc>
        <w:tc>
          <w:tcPr>
            <w:tcW w:type="dxa" w:w="35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Fuga de datos de clientes</w:t>
            </w:r>
          </w:p>
        </w:tc>
      </w:tr>
      <w:tr>
        <w:trPr>
          <w:cantSplit/>
        </w:trPr>
        <w:tc>
          <w:tcPr>
            <w:tcW w:type="dxa" w:w="22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bCs/>
                <w:sz w:val="18"/>
                <w:szCs w:val="18"/>
              </w:rPr>
              <w:t xml:space="preserve">Integridad</w:t>
            </w:r>
          </w:p>
        </w:tc>
        <w:tc>
          <w:tcPr>
            <w:tcW w:type="dxa" w:w="39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Alguien altera la información</w:t>
            </w:r>
          </w:p>
        </w:tc>
        <w:tc>
          <w:tcPr>
            <w:tcW w:type="dxa" w:w="35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Cambian el número de cuenta en una factura</w:t>
            </w:r>
          </w:p>
        </w:tc>
      </w:tr>
      <w:tr>
        <w:trPr>
          <w:cantSplit/>
        </w:trPr>
        <w:tc>
          <w:tcPr>
            <w:tcW w:type="dxa" w:w="22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Disponibilidad</w:t>
            </w:r>
          </w:p>
        </w:tc>
        <w:tc>
          <w:tcPr>
            <w:tcW w:type="dxa" w:w="39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No se puede usar cuando se necesita</w:t>
            </w:r>
          </w:p>
        </w:tc>
        <w:tc>
          <w:tcPr>
            <w:tcW w:type="dxa" w:w="35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El ERP cifrado por ransomware</w:t>
            </w:r>
          </w:p>
        </w:tc>
      </w:tr>
      <w:tr>
        <w:trPr>
          <w:cantSplit/>
        </w:trPr>
        <w:tc>
          <w:tcPr>
            <w:tcW w:type="dxa" w:w="22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bCs/>
                <w:sz w:val="18"/>
                <w:szCs w:val="18"/>
              </w:rPr>
              <w:t xml:space="preserve">No repudio</w:t>
            </w:r>
          </w:p>
        </w:tc>
        <w:tc>
          <w:tcPr>
            <w:tcW w:type="dxa" w:w="39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Alguien puede negar que hizo algo</w:t>
            </w:r>
          </w:p>
        </w:tc>
        <w:tc>
          <w:tcPr>
            <w:tcW w:type="dxa" w:w="35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Una transferencia sin firma digital</w:t>
            </w:r>
          </w:p>
        </w:tc>
      </w:tr>
      <w:tr>
        <w:trPr>
          <w:cantSplit/>
        </w:trPr>
        <w:tc>
          <w:tcPr>
            <w:tcW w:type="dxa" w:w="22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val="false"/>
              <w:spacing w:after="0" w:line="264"/>
            </w:pPr>
            <w:r>
              <w:rPr>
                <w:b/>
                <w:bCs/>
                <w:sz w:val="18"/>
                <w:szCs w:val="18"/>
              </w:rPr>
              <w:t xml:space="preserve">Trazabilidad</w:t>
            </w:r>
          </w:p>
        </w:tc>
        <w:tc>
          <w:tcPr>
            <w:tcW w:type="dxa" w:w="39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val="false"/>
              <w:spacing w:after="0" w:line="264"/>
            </w:pPr>
            <w:r>
              <w:rPr>
                <w:b w:val="false"/>
                <w:bCs w:val="false"/>
                <w:sz w:val="18"/>
                <w:szCs w:val="18"/>
              </w:rPr>
              <w:t xml:space="preserve">No se puede reconstruir quién hizo qué y cuándo</w:t>
            </w:r>
          </w:p>
        </w:tc>
        <w:tc>
          <w:tcPr>
            <w:tcW w:type="dxa" w:w="35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val="false"/>
              <w:spacing w:after="0" w:line="264"/>
            </w:pPr>
            <w:r>
              <w:rPr>
                <w:b w:val="false"/>
                <w:bCs w:val="false"/>
                <w:sz w:val="18"/>
                <w:szCs w:val="18"/>
              </w:rPr>
              <w:t xml:space="preserve">Un servidor sin registros del sistema</w:t>
            </w:r>
          </w:p>
        </w:tc>
      </w:tr>
    </w:tbl>
    <w:p>
      <w:pPr>
        <w:pStyle w:val="Heading3"/>
      </w:pPr>
      <w:r>
        <w:t xml:space="preserve">2. Activo crítico e impacto de negocio</w:t>
      </w:r>
    </w:p>
    <w:p>
      <w:pPr>
        <w:spacing w:after="120" w:line="288"/>
      </w:pPr>
      <w:r>
        <w:t xml:space="preserve">Debes poder elegir los activos que más importan a la empresa, decir qué principio protege cada uno y qué pasa en el negocio si se pierde. Es la base del Mapa de activos y de toda priorización posterior: no se protege todo igual.</w:t>
      </w:r>
    </w:p>
    <w:p>
      <w:pPr>
        <w:pStyle w:val="Heading3"/>
      </w:pPr>
      <w:r>
        <w:t xml:space="preserve">3. La tríada DIE como contrapunto, no como reemplazo</w:t>
      </w:r>
    </w:p>
    <w:p>
      <w:pPr>
        <w:spacing w:after="120" w:line="288"/>
      </w:pPr>
      <w:r>
        <w:t xml:space="preserve">DIE (Distribuido, Inmutable, Efímero) propone tratar los servidores como </w:t>
      </w:r>
      <w:r>
        <w:rPr>
          <w:i/>
          <w:iCs/>
        </w:rPr>
        <w:t xml:space="preserve">ganado</w:t>
      </w:r>
      <w:r>
        <w:t xml:space="preserve">, que se reconstruye desde una plantilla, y no como </w:t>
      </w:r>
      <w:r>
        <w:rPr>
          <w:i/>
          <w:iCs/>
        </w:rPr>
        <w:t xml:space="preserve">mascotas</w:t>
      </w:r>
      <w:r>
        <w:t xml:space="preserve">, que se cuidan una por una. Debes poder explicar con un ejemplo cómo un diseño DIE alivia un principio clásico. La prueba evalúa los cinco principios; DIE es una perspectiva de análisis.</w:t>
      </w:r>
    </w:p>
    <w:p>
      <w:pPr>
        <w:pStyle w:val="Heading1"/>
      </w:pPr>
      <w:r>
        <w:t xml:space="preserve">Clase 2 · Amenazas, MITRE ATT&amp;CK y línea base</w:t>
      </w:r>
    </w:p>
    <w:p>
      <w:pPr>
        <w:pStyle w:val="Heading3"/>
      </w:pPr>
      <w:r>
        <w:t xml:space="preserve">4. Tipos de actores de amenaza y qué los mueve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Actor</w:t>
            </w:r>
          </w:p>
        </w:tc>
        <w:tc>
          <w:tcPr>
            <w:tcW w:type="dxa" w:w="7038"/>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Qué lo mueve</w:t>
            </w:r>
          </w:p>
        </w:tc>
      </w:tr>
      <w:tr>
        <w:trPr>
          <w:cantSplit/>
        </w:trPr>
        <w:tc>
          <w:tcPr>
            <w:tcW w:type="dxa" w:w="26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Cibercrimen</w:t>
            </w:r>
          </w:p>
        </w:tc>
        <w:tc>
          <w:tcPr>
            <w:tcW w:type="dxa" w:w="70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Dinero; incluye el ransomware como servicio</w:t>
            </w:r>
          </w:p>
        </w:tc>
      </w:tr>
      <w:tr>
        <w:trPr>
          <w:cantSplit/>
        </w:trPr>
        <w:tc>
          <w:tcPr>
            <w:tcW w:type="dxa" w:w="26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bCs/>
                <w:sz w:val="18"/>
                <w:szCs w:val="18"/>
              </w:rPr>
              <w:t xml:space="preserve">APT</w:t>
            </w:r>
          </w:p>
        </w:tc>
        <w:tc>
          <w:tcPr>
            <w:tcW w:type="dxa" w:w="70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Espionaje, con recursos y paciencia</w:t>
            </w:r>
          </w:p>
        </w:tc>
      </w:tr>
      <w:tr>
        <w:trPr>
          <w:cantSplit/>
        </w:trPr>
        <w:tc>
          <w:tcPr>
            <w:tcW w:type="dxa" w:w="26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Insider</w:t>
            </w:r>
          </w:p>
        </w:tc>
        <w:tc>
          <w:tcPr>
            <w:tcW w:type="dxa" w:w="70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Alguien de adentro, con o sin intención</w:t>
            </w:r>
          </w:p>
        </w:tc>
      </w:tr>
      <w:tr>
        <w:trPr>
          <w:cantSplit/>
        </w:trPr>
        <w:tc>
          <w:tcPr>
            <w:tcW w:type="dxa" w:w="26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bCs/>
                <w:sz w:val="18"/>
                <w:szCs w:val="18"/>
              </w:rPr>
              <w:t xml:space="preserve">Hacktivismo</w:t>
            </w:r>
          </w:p>
        </w:tc>
        <w:tc>
          <w:tcPr>
            <w:tcW w:type="dxa" w:w="70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Una causa o visibilidad</w:t>
            </w:r>
          </w:p>
        </w:tc>
      </w:tr>
      <w:tr>
        <w:trPr>
          <w:cantSplit/>
        </w:trPr>
        <w:tc>
          <w:tcPr>
            <w:tcW w:type="dxa" w:w="26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val="false"/>
              <w:spacing w:after="0" w:line="264"/>
            </w:pPr>
            <w:r>
              <w:rPr>
                <w:b/>
                <w:bCs/>
                <w:sz w:val="18"/>
                <w:szCs w:val="18"/>
              </w:rPr>
              <w:t xml:space="preserve">Error humano</w:t>
            </w:r>
          </w:p>
        </w:tc>
        <w:tc>
          <w:tcPr>
            <w:tcW w:type="dxa" w:w="70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val="false"/>
              <w:spacing w:after="0" w:line="264"/>
            </w:pPr>
            <w:r>
              <w:rPr>
                <w:b w:val="false"/>
                <w:bCs w:val="false"/>
                <w:sz w:val="18"/>
                <w:szCs w:val="18"/>
              </w:rPr>
              <w:t xml:space="preserve">Sin intención: una configuración mal hecha, un clic equivocado</w:t>
            </w:r>
          </w:p>
        </w:tc>
      </w:tr>
    </w:tbl>
    <w:p>
      <w:pPr>
        <w:spacing w:after="60"/>
      </w:pPr>
    </w:p>
    <w:p>
      <w:pPr>
        <w:spacing w:after="120" w:line="288"/>
      </w:pPr>
      <w:r>
        <w:t xml:space="preserve">Debes poder decir, ante un caso, qué actor es el más probable y por qué.</w:t>
      </w:r>
    </w:p>
    <w:p>
      <w:pPr>
        <w:pStyle w:val="Heading3"/>
      </w:pPr>
      <w:r>
        <w:t xml:space="preserve">5. Leer MITRE ATT&amp;CK</w:t>
      </w:r>
    </w:p>
    <w:p>
      <w:pPr>
        <w:spacing w:after="120" w:line="288"/>
      </w:pPr>
      <w:r>
        <w:t xml:space="preserve">ATT&amp;CK es el vocabulario común para describir lo que hace un atacante. Debes distinguir:</w:t>
      </w:r>
    </w:p>
    <w:p>
      <w:pPr>
        <w:pStyle w:val="ListParagraph"/>
        <w:numPr>
          <w:ilvl w:val="0"/>
          <w:numId w:val="2"/>
        </w:numPr>
        <w:spacing w:after="80" w:line="276"/>
      </w:pPr>
      <w:r>
        <w:rPr>
          <w:b/>
          <w:bCs/>
        </w:rPr>
        <w:t xml:space="preserve">Táctica:</w:t>
      </w:r>
      <w:r>
        <w:t xml:space="preserve"> el </w:t>
      </w:r>
      <w:r>
        <w:rPr>
          <w:i/>
          <w:iCs/>
        </w:rPr>
        <w:t xml:space="preserve">para qué</w:t>
      </w:r>
      <w:r>
        <w:t xml:space="preserve"> (las columnas: acceso inicial, persistencia, movimiento lateral, exfiltración…).</w:t>
      </w:r>
    </w:p>
    <w:p>
      <w:pPr>
        <w:pStyle w:val="ListParagraph"/>
        <w:numPr>
          <w:ilvl w:val="0"/>
          <w:numId w:val="2"/>
        </w:numPr>
        <w:spacing w:after="80" w:line="276"/>
      </w:pPr>
      <w:r>
        <w:rPr>
          <w:b/>
          <w:bCs/>
        </w:rPr>
        <w:t xml:space="preserve">Técnica:</w:t>
      </w:r>
      <w:r>
        <w:t xml:space="preserve"> el </w:t>
      </w:r>
      <w:r>
        <w:rPr>
          <w:i/>
          <w:iCs/>
        </w:rPr>
        <w:t xml:space="preserve">cómo</w:t>
      </w:r>
      <w:r>
        <w:t xml:space="preserve"> (cada casilla, con su identificador, por ejemplo T1110 Fuerza bruta).</w:t>
      </w:r>
    </w:p>
    <w:p>
      <w:pPr>
        <w:spacing w:after="120" w:before="80"/>
      </w:pPr>
      <w:r>
        <w:t xml:space="preserve">Ante una acción observada («probaron miles de contraseñas contra SSH»), debes poder ubicarla en su táctica y su técnica.</w:t>
      </w:r>
    </w:p>
    <w:p>
      <w:pPr>
        <w:pStyle w:val="Heading3"/>
      </w:pPr>
      <w:r>
        <w:t xml:space="preserve">6. Línea base con el CIS Benchmark</w:t>
      </w:r>
    </w:p>
    <w:p>
      <w:pPr>
        <w:spacing w:after="120" w:line="288"/>
      </w:pPr>
      <w:r>
        <w:t xml:space="preserve">Una línea base es la foto de cómo está configurado un sistema comparada con una guía de configuración segura. Debes poder:</w:t>
      </w:r>
    </w:p>
    <w:p>
      <w:pPr>
        <w:pStyle w:val="ListParagraph"/>
        <w:numPr>
          <w:ilvl w:val="0"/>
          <w:numId w:val="2"/>
        </w:numPr>
        <w:spacing w:after="80" w:line="276"/>
      </w:pPr>
      <w:r>
        <w:t xml:space="preserve">Verificar un control y marcarlo como </w:t>
      </w:r>
      <w:r>
        <w:rPr>
          <w:i/>
          <w:iCs/>
        </w:rPr>
        <w:t xml:space="preserve">cumple / no cumple</w:t>
      </w:r>
      <w:r>
        <w:t xml:space="preserve">, con el comando que sirve de evidencia.</w:t>
      </w:r>
    </w:p>
    <w:p>
      <w:pPr>
        <w:pStyle w:val="ListParagraph"/>
        <w:numPr>
          <w:ilvl w:val="0"/>
          <w:numId w:val="2"/>
        </w:numPr>
        <w:spacing w:after="80" w:line="276"/>
      </w:pPr>
      <w:r>
        <w:t xml:space="preserve">Priorizar los hallazgos por </w:t>
      </w:r>
      <w:r>
        <w:rPr>
          <w:b/>
          <w:bCs/>
        </w:rPr>
        <w:t xml:space="preserve">impacto de negocio</w:t>
      </w:r>
      <w:r>
        <w:t xml:space="preserve">, no por cantidad ni por severidad técnica sola.</w:t>
      </w:r>
    </w:p>
    <w:p>
      <w:pPr>
        <w:pStyle w:val="Heading1"/>
      </w:pPr>
      <w:r>
        <w:t xml:space="preserve">Clase 3 · Modelos de referencia y Zero Trust</w:t>
      </w:r>
    </w:p>
    <w:p>
      <w:pPr>
        <w:pStyle w:val="Heading3"/>
      </w:pPr>
      <w:r>
        <w:t xml:space="preserve">7. Ubicar un ataque en su capa</w:t>
      </w:r>
    </w:p>
    <w:p>
      <w:pPr>
        <w:spacing w:after="120" w:line="288"/>
      </w:pPr>
      <w:r>
        <w:t xml:space="preserve">No hace falta memorizar las siete capas de OSI: hace falta saber en qué capa ocurre un ataque, porque eso dice dónde va el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Capa</w:t>
            </w:r>
          </w:p>
        </w:tc>
        <w:tc>
          <w:tcPr>
            <w:tcW w:type="dxa" w:w="4100"/>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Ataque típico</w:t>
            </w:r>
          </w:p>
        </w:tc>
        <w:tc>
          <w:tcPr>
            <w:tcW w:type="dxa" w:w="3638"/>
            <w:tcBorders>
              <w:top w:val="single" w:color="D5DEEA" w:sz="4"/>
              <w:left w:val="single" w:color="D5DEEA" w:sz="4"/>
              <w:bottom w:val="single" w:color="D5DEEA" w:sz="4"/>
              <w:right w:val="single" w:color="D5DEEA" w:sz="4"/>
            </w:tcBorders>
            <w:shd w:fill="093979" w:color="auto" w:val="clear"/>
            <w:tcMar>
              <w:top w:type="dxa" w:w="80"/>
              <w:left w:type="dxa" w:w="110"/>
              <w:bottom w:type="dxa" w:w="80"/>
              <w:right w:type="dxa" w:w="110"/>
            </w:tcMar>
          </w:tcPr>
          <w:p>
            <w:pPr>
              <w:keepNext/>
              <w:spacing w:after="0" w:line="264"/>
            </w:pPr>
            <w:r>
              <w:rPr>
                <w:b/>
                <w:bCs/>
                <w:color w:val="FFFFFF"/>
                <w:sz w:val="18"/>
                <w:szCs w:val="18"/>
              </w:rPr>
              <w:t xml:space="preserve">Control que lo frena</w:t>
            </w:r>
          </w:p>
        </w:tc>
      </w:tr>
      <w:tr>
        <w:trPr>
          <w:cantSplit/>
        </w:trPr>
        <w:tc>
          <w:tcPr>
            <w:tcW w:type="dxa" w:w="19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Enlace (2)</w:t>
            </w:r>
          </w:p>
        </w:tc>
        <w:tc>
          <w:tcPr>
            <w:tcW w:type="dxa" w:w="41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Suplantación ARP (el MitM de la clase 6)</w:t>
            </w:r>
          </w:p>
        </w:tc>
        <w:tc>
          <w:tcPr>
            <w:tcW w:type="dxa" w:w="36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Inspección dinámica de ARP, segmentación</w:t>
            </w:r>
          </w:p>
        </w:tc>
      </w:tr>
      <w:tr>
        <w:trPr>
          <w:cantSplit/>
        </w:trPr>
        <w:tc>
          <w:tcPr>
            <w:tcW w:type="dxa" w:w="19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bCs/>
                <w:sz w:val="18"/>
                <w:szCs w:val="18"/>
              </w:rPr>
              <w:t xml:space="preserve">Red (3)</w:t>
            </w:r>
          </w:p>
        </w:tc>
        <w:tc>
          <w:tcPr>
            <w:tcW w:type="dxa" w:w="41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Suplantación de IP, escaneo de red</w:t>
            </w:r>
          </w:p>
        </w:tc>
        <w:tc>
          <w:tcPr>
            <w:tcW w:type="dxa" w:w="36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spacing w:after="0" w:line="264"/>
            </w:pPr>
            <w:r>
              <w:rPr>
                <w:b w:val="false"/>
                <w:bCs w:val="false"/>
                <w:sz w:val="18"/>
                <w:szCs w:val="18"/>
              </w:rPr>
              <w:t xml:space="preserve">Filtrado en el firewall, segmentación</w:t>
            </w:r>
          </w:p>
        </w:tc>
      </w:tr>
      <w:tr>
        <w:trPr>
          <w:cantSplit/>
        </w:trPr>
        <w:tc>
          <w:tcPr>
            <w:tcW w:type="dxa" w:w="19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bCs/>
                <w:sz w:val="18"/>
                <w:szCs w:val="18"/>
              </w:rPr>
              <w:t xml:space="preserve">Transporte (4)</w:t>
            </w:r>
          </w:p>
        </w:tc>
        <w:tc>
          <w:tcPr>
            <w:tcW w:type="dxa" w:w="4100"/>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Inundación SYN, escaneo de puertos</w:t>
            </w:r>
          </w:p>
        </w:tc>
        <w:tc>
          <w:tcPr>
            <w:tcW w:type="dxa" w:w="3638"/>
            <w:tcBorders>
              <w:top w:val="single" w:color="D5DEEA" w:sz="4"/>
              <w:left w:val="single" w:color="D5DEEA" w:sz="4"/>
              <w:bottom w:val="single" w:color="D5DEEA" w:sz="4"/>
              <w:right w:val="single" w:color="D5DEEA" w:sz="4"/>
            </w:tcBorders>
            <w:tcMar>
              <w:top w:type="dxa" w:w="80"/>
              <w:left w:type="dxa" w:w="110"/>
              <w:bottom w:type="dxa" w:w="80"/>
              <w:right w:type="dxa" w:w="110"/>
            </w:tcMar>
          </w:tcPr>
          <w:p>
            <w:pPr>
              <w:keepNext/>
              <w:spacing w:after="0" w:line="264"/>
            </w:pPr>
            <w:r>
              <w:rPr>
                <w:b w:val="false"/>
                <w:bCs w:val="false"/>
                <w:sz w:val="18"/>
                <w:szCs w:val="18"/>
              </w:rPr>
              <w:t xml:space="preserve">Límites de conexiones, IDS</w:t>
            </w:r>
          </w:p>
        </w:tc>
      </w:tr>
      <w:tr>
        <w:trPr>
          <w:cantSplit/>
        </w:trPr>
        <w:tc>
          <w:tcPr>
            <w:tcW w:type="dxa" w:w="19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val="false"/>
              <w:spacing w:after="0" w:line="264"/>
            </w:pPr>
            <w:r>
              <w:rPr>
                <w:b/>
                <w:bCs/>
                <w:sz w:val="18"/>
                <w:szCs w:val="18"/>
              </w:rPr>
              <w:t xml:space="preserve">Aplicación (7)</w:t>
            </w:r>
          </w:p>
        </w:tc>
        <w:tc>
          <w:tcPr>
            <w:tcW w:type="dxa" w:w="4100"/>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val="false"/>
              <w:spacing w:after="0" w:line="264"/>
            </w:pPr>
            <w:r>
              <w:rPr>
                <w:b w:val="false"/>
                <w:bCs w:val="false"/>
                <w:sz w:val="18"/>
                <w:szCs w:val="18"/>
              </w:rPr>
              <w:t xml:space="preserve">Robo de credenciales en HTTP sin cifrar, inyección SQL</w:t>
            </w:r>
          </w:p>
        </w:tc>
        <w:tc>
          <w:tcPr>
            <w:tcW w:type="dxa" w:w="3638"/>
            <w:tcBorders>
              <w:top w:val="single" w:color="D5DEEA" w:sz="4"/>
              <w:left w:val="single" w:color="D5DEEA" w:sz="4"/>
              <w:bottom w:val="single" w:color="D5DEEA" w:sz="4"/>
              <w:right w:val="single" w:color="D5DEEA" w:sz="4"/>
            </w:tcBorders>
            <w:shd w:fill="EEF4FB" w:color="auto" w:val="clear"/>
            <w:tcMar>
              <w:top w:type="dxa" w:w="80"/>
              <w:left w:type="dxa" w:w="110"/>
              <w:bottom w:type="dxa" w:w="80"/>
              <w:right w:type="dxa" w:w="110"/>
            </w:tcMar>
          </w:tcPr>
          <w:p>
            <w:pPr>
              <w:keepNext w:val="false"/>
              <w:spacing w:after="0" w:line="264"/>
            </w:pPr>
            <w:r>
              <w:rPr>
                <w:b w:val="false"/>
                <w:bCs w:val="false"/>
                <w:sz w:val="18"/>
                <w:szCs w:val="18"/>
              </w:rPr>
              <w:t xml:space="preserve">TLS, validación de entradas, WAF</w:t>
            </w:r>
          </w:p>
        </w:tc>
      </w:tr>
    </w:tbl>
    <w:p>
      <w:pPr>
        <w:pStyle w:val="Heading3"/>
      </w:pPr>
      <w:r>
        <w:t xml:space="preserve">8. Control preventivo, detectivo y correctivo</w:t>
      </w:r>
    </w:p>
    <w:p>
      <w:pPr>
        <w:spacing w:after="120" w:line="288"/>
      </w:pPr>
      <w:r>
        <w:t xml:space="preserve">Preventivo evita que pase (firewall, cifrado). Detectivo avisa que está pasando (IDS, registros). Correctivo repara después (restaurar desde respaldo, aplicar un parche). Ante cualquier amenaza, debes poder proponer al menos uno de cada tipo. Esta escalera se usa en todo el resto del curso.</w:t>
      </w:r>
    </w:p>
    <w:p>
      <w:pPr>
        <w:pStyle w:val="Heading3"/>
      </w:pPr>
      <w:r>
        <w:t xml:space="preserve">9. Zero Trust (NIST SP 800-207)</w:t>
      </w:r>
    </w:p>
    <w:p>
      <w:pPr>
        <w:spacing w:after="120" w:line="288"/>
      </w:pPr>
      <w:r>
        <w:t xml:space="preserve">La idea central: </w:t>
      </w:r>
      <w:r>
        <w:rPr>
          <w:b/>
          <w:bCs/>
        </w:rPr>
        <w:t xml:space="preserve">estar adentro de la red no da confianza.</w:t>
      </w:r>
      <w:r>
        <w:t xml:space="preserve"> Cada acceso se verifica según quién es, desde qué dispositivo y a qué recurso, con el mínimo privilegio necesario y asumiendo que ya hubo una brecha. Debes poder leer un acceso remoto y decir qué se verifica antes de permitirlo. Es la base del Canvas Zero Trust del Runbook.</w:t>
      </w:r>
    </w:p>
    <w:p>
      <w:pPr>
        <w:pStyle w:val="Heading1"/>
      </w:pPr>
      <w:r>
        <w:t xml:space="preserve">Autoevaluación rápida</w:t>
      </w:r>
    </w:p>
    <w:p>
      <w:pPr>
        <w:spacing w:after="120" w:line="288"/>
      </w:pPr>
      <w:r>
        <w:t xml:space="preserve">Si puedes responder estas preguntas en pocas líneas, tienes las clases 1 a 3 cubiertas. Si alguna te cuesta, pregúntala en el chat de Teams del grupo antes del jueves.</w:t>
      </w:r>
    </w:p>
    <w:p>
      <w:pPr>
        <w:spacing w:after="80"/>
        <w:ind w:left="360" w:hanging="360"/>
      </w:pPr>
      <w:r>
        <w:rPr>
          <w:color w:val="093979"/>
          <w:sz w:val="22"/>
          <w:szCs w:val="22"/>
        </w:rPr>
        <w:t xml:space="preserve">☐  </w:t>
      </w:r>
      <w:r>
        <w:t xml:space="preserve">Cambiaron el monto de una orden de compra en la base de datos. ¿Qué principio se comprometió?</w:t>
      </w:r>
    </w:p>
    <w:p>
      <w:pPr>
        <w:spacing w:after="80"/>
        <w:ind w:left="360" w:hanging="360"/>
      </w:pPr>
      <w:r>
        <w:rPr>
          <w:color w:val="093979"/>
          <w:sz w:val="22"/>
          <w:szCs w:val="22"/>
        </w:rPr>
        <w:t xml:space="preserve">☐  </w:t>
      </w:r>
      <w:r>
        <w:t xml:space="preserve">¿Cuál es el activo más crítico de Cóndor Tech y qué pierde el negocio si cae?</w:t>
      </w:r>
    </w:p>
    <w:p>
      <w:pPr>
        <w:spacing w:after="80"/>
        <w:ind w:left="360" w:hanging="360"/>
      </w:pPr>
      <w:r>
        <w:rPr>
          <w:color w:val="093979"/>
          <w:sz w:val="22"/>
          <w:szCs w:val="22"/>
        </w:rPr>
        <w:t xml:space="preserve">☐  </w:t>
      </w:r>
      <w:r>
        <w:t xml:space="preserve">¿En qué se diferencia un servidor «mascota» de uno «ganado»?</w:t>
      </w:r>
    </w:p>
    <w:p>
      <w:pPr>
        <w:spacing w:after="80"/>
        <w:ind w:left="360" w:hanging="360"/>
      </w:pPr>
      <w:r>
        <w:rPr>
          <w:color w:val="093979"/>
          <w:sz w:val="22"/>
          <w:szCs w:val="22"/>
        </w:rPr>
        <w:t xml:space="preserve">☐  </w:t>
      </w:r>
      <w:r>
        <w:t xml:space="preserve">Un grupo pide rescate tras cifrar servidores. ¿Qué tipo de actor es el más probable?</w:t>
      </w:r>
    </w:p>
    <w:p>
      <w:pPr>
        <w:spacing w:after="80"/>
        <w:ind w:left="360" w:hanging="360"/>
      </w:pPr>
      <w:r>
        <w:rPr>
          <w:color w:val="093979"/>
          <w:sz w:val="22"/>
          <w:szCs w:val="22"/>
        </w:rPr>
        <w:t xml:space="preserve">☐  </w:t>
      </w:r>
      <w:r>
        <w:t xml:space="preserve">«Crearon una cuenta nueva para volver a entrar después.» ¿Qué táctica de ATT&amp;CK es?</w:t>
      </w:r>
    </w:p>
    <w:p>
      <w:pPr>
        <w:spacing w:after="80"/>
        <w:ind w:left="360" w:hanging="360"/>
      </w:pPr>
      <w:r>
        <w:rPr>
          <w:color w:val="093979"/>
          <w:sz w:val="22"/>
          <w:szCs w:val="22"/>
        </w:rPr>
        <w:t xml:space="preserve">☐  </w:t>
      </w:r>
      <w:r>
        <w:t xml:space="preserve">¿Qué comando usarías como evidencia de que /etc/shadow tiene permisos incorrectos?</w:t>
      </w:r>
    </w:p>
    <w:p>
      <w:pPr>
        <w:spacing w:after="80"/>
        <w:ind w:left="360" w:hanging="360"/>
      </w:pPr>
      <w:r>
        <w:rPr>
          <w:color w:val="093979"/>
          <w:sz w:val="22"/>
          <w:szCs w:val="22"/>
        </w:rPr>
        <w:t xml:space="preserve">☐  </w:t>
      </w:r>
      <w:r>
        <w:t xml:space="preserve">Un atacante en la misma red se hace pasar por el gateway. ¿En qué capa ocurre?</w:t>
      </w:r>
    </w:p>
    <w:p>
      <w:pPr>
        <w:spacing w:after="80"/>
        <w:ind w:left="360" w:hanging="360"/>
      </w:pPr>
      <w:r>
        <w:rPr>
          <w:color w:val="093979"/>
          <w:sz w:val="22"/>
          <w:szCs w:val="22"/>
        </w:rPr>
        <w:t xml:space="preserve">☐  </w:t>
      </w:r>
      <w:r>
        <w:t xml:space="preserve">Contra ese ataque, propón un control preventivo, uno detectivo y uno correctivo.</w:t>
      </w:r>
    </w:p>
    <w:p>
      <w:pPr>
        <w:spacing w:after="80"/>
        <w:ind w:left="360" w:hanging="360"/>
      </w:pPr>
      <w:r>
        <w:rPr>
          <w:color w:val="093979"/>
          <w:sz w:val="22"/>
          <w:szCs w:val="22"/>
        </w:rPr>
        <w:t xml:space="preserve">☐  </w:t>
      </w:r>
      <w:r>
        <w:t xml:space="preserve">Un empleado se conecta desde su casa al ERP. Bajo Zero Trust, ¿qué se verifica antes de dejarlo entrar?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A" w:sz="4" w:space="6"/>
      </w:pBdr>
      <w:tabs>
        <w:tab w:val="right" w:pos="9638"/>
      </w:tabs>
    </w:pPr>
    <w:r>
      <w:rPr>
        <w:color w:val="6B7A90"/>
        <w:sz w:val="16"/>
        <w:szCs w:val="16"/>
      </w:rPr>
      <w:t xml:space="preserve">Módulo 4 · CIBER13 · Universidad de Montevideo</w:t>
    </w:r>
    <w:r>
      <w:rPr>
        <w:color w:val="6B7A90"/>
        <w:sz w:val="16"/>
        <w:szCs w:val="16"/>
      </w:rPr>
      <w:t xml:space="preserve">	Página </w:t>
    </w:r>
    <w:r>
      <w:rPr>
        <w:color w:val="6B7A90"/>
        <w:sz w:val="16"/>
        <w:szCs w:val="16"/>
      </w:rPr>
      <w:fldChar w:fldCharType="begin"/>
      <w:instrText xml:space="preserve">PAGE</w:instrText>
      <w:fldChar w:fldCharType="separate"/>
      <w:fldChar w:fldCharType="end"/>
    </w:r>
    <w:r>
      <w:rPr>
        <w:color w:val="6B7A90"/>
        <w:sz w:val="16"/>
        <w:szCs w:val="16"/>
      </w:rPr>
      <w:t xml:space="preserve"> de </w:t>
    </w:r>
    <w:r>
      <w:rPr>
        <w:color w:val="6B7A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939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B2A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Open Sans" w:cs="Open Sans" w:eastAsia="Open Sans" w:hAnsi="Open Sans"/>
      <w:b/>
      <w:bCs/>
      <w:color w:val="093979"/>
      <w:sz w:val="30"/>
      <w:szCs w:val="30"/>
    </w:rPr>
  </w:style>
  <w:style w:type="paragraph" w:styleId="Heading2">
    <w:name w:val="Heading 2"/>
    <w:basedOn w:val="Normal"/>
    <w:next w:val="Normal"/>
    <w:qFormat/>
    <w:pPr>
      <w:keepNext/>
      <w:spacing w:after="100" w:before="280"/>
      <w:outlineLvl w:val="1"/>
    </w:pPr>
    <w:rPr>
      <w:rFonts w:ascii="Open Sans" w:cs="Open Sans" w:eastAsia="Open Sans" w:hAnsi="Open Sans"/>
      <w:b/>
      <w:bCs/>
      <w:color w:val="093979"/>
      <w:sz w:val="24"/>
      <w:szCs w:val="24"/>
    </w:rPr>
  </w:style>
  <w:style w:type="paragraph" w:styleId="Heading3">
    <w:name w:val="Heading 3"/>
    <w:basedOn w:val="Normal"/>
    <w:next w:val="Normal"/>
    <w:qFormat/>
    <w:pPr>
      <w:keepNext/>
      <w:spacing w:after="60" w:before="200"/>
      <w:outlineLvl w:val="2"/>
    </w:pPr>
    <w:rPr>
      <w:rFonts w:ascii="Open Sans" w:cs="Open Sans" w:eastAsia="Open Sans" w:hAnsi="Open Sans"/>
      <w:b/>
      <w:bCs/>
      <w:color w:val="1B2A4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 Cruz</dc:creator>
  <cp:lastModifiedBy>Un-named</cp:lastModifiedBy>
  <cp:revision>1</cp:revision>
  <dcterms:created xsi:type="dcterms:W3CDTF">2026-10-09T22:44:12.811Z</dcterms:created>
  <dcterms:modified xsi:type="dcterms:W3CDTF">2026-10-09T22:44:12.811Z</dcterms:modified>
</cp:coreProperties>
</file>

<file path=docProps/custom.xml><?xml version="1.0" encoding="utf-8"?>
<Properties xmlns="http://schemas.openxmlformats.org/officeDocument/2006/custom-properties" xmlns:vt="http://schemas.openxmlformats.org/officeDocument/2006/docPropsVTypes"/>
</file>