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rPr>
          <w:sz w:val="32"/>
          <w:szCs w:val="32"/>
        </w:rPr>
      </w:pPr>
      <w:r>
        <w:rPr>
          <w:sz w:val="32"/>
          <w:szCs w:val="32"/>
          <w:lang w:val="ru-RU"/>
        </w:rPr>
        <w:t>Второй замечательный предел: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 xmlns:mc="http://schemas.openxmlformats.org/markup-compatibility/2006">
          <wp:inline>
            <wp:extent cx="2122170" cy="716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217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Следствия из второго замечательного предела: </w:t>
      </w: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drawing xmlns:mc="http://schemas.openxmlformats.org/markup-compatibility/2006">
          <wp:inline>
            <wp:extent cx="1397635" cy="414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63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drawing xmlns:mc="http://schemas.openxmlformats.org/markup-compatibility/2006">
          <wp:inline>
            <wp:extent cx="1918335" cy="452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drawing xmlns:mc="http://schemas.openxmlformats.org/markup-compatibility/2006">
          <wp:inline>
            <wp:extent cx="1442720" cy="436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drawing xmlns:mc="http://schemas.openxmlformats.org/markup-compatibility/2006">
          <wp:inline>
            <wp:extent cx="1650365" cy="440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0365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латентный максимос</dc:creator>
  <cp:lastModifiedBy>латентный максимос</cp:lastModifiedBy>
</cp:coreProperties>
</file>