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Белорусский государственный университет информатики и радиоэлектроники»</w:t>
      </w:r>
    </w:p>
    <w:p>
      <w:pPr>
        <w:shd w:val="clear" w:color="auto" w:fill="FFFFFF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Кафедра физики </w:t>
      </w:r>
    </w:p>
    <w:p>
      <w:pPr>
        <w:shd w:val="clear" w:color="auto" w:fill="FFFFFF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shd w:val="clear" w:color="auto" w:fill="FFFFFF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shd w:val="clear" w:color="auto" w:fill="FFFFFF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shd w:val="clear" w:color="auto" w:fill="FFFFFF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shd w:val="clear" w:color="auto" w:fill="FFFFFF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shd w:val="clear" w:color="auto" w:fill="FFFFFF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Лабораторная работа № 3э.3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ИЗУЧЕНИЕ МАГНИТНЫХ ПОЛЕЙ</w:t>
      </w:r>
    </w:p>
    <w:p>
      <w:pPr>
        <w:shd w:val="clear" w:color="auto" w:fill="FFFFFF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shd w:val="clear" w:color="auto" w:fill="FFFFFF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shd w:val="clear" w:color="auto" w:fill="FFFFFF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shd w:val="clear" w:color="auto" w:fill="FFFFFF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shd w:val="clear" w:color="auto" w:fill="FFFFFF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shd w:val="clear" w:color="auto" w:fill="FFFFFF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</w:rPr>
        <w:t>Выполнил: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>ст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удент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гр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уппы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eastAsia="Times New Roman" w:cs="Times New Roman"/>
          <w:sz w:val="28"/>
          <w:szCs w:val="28"/>
        </w:rPr>
        <w:t xml:space="preserve">21701                                                                  </w:t>
      </w:r>
    </w:p>
    <w:p>
      <w:pPr>
        <w:shd w:val="clear" w:color="auto" w:fill="FFFFFF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Сковлюк Герман</w:t>
      </w:r>
    </w:p>
    <w:p>
      <w:pPr>
        <w:shd w:val="clear" w:color="auto" w:fill="FFFFFF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Худолеев Олег Геннадьевич</w:t>
      </w:r>
    </w:p>
    <w:p>
      <w:pPr>
        <w:shd w:val="clear" w:color="auto" w:fill="FFFFFF"/>
        <w:rPr>
          <w:rFonts w:hint="default"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Телица Илья Денисович</w:t>
      </w:r>
    </w:p>
    <w:p>
      <w:pPr>
        <w:shd w:val="clear" w:color="auto" w:fill="FFFFFF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lang w:val="ru-RU"/>
        </w:rPr>
        <w:t>Цель лабораторной работы: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lang w:val="ru-RU"/>
        </w:rPr>
        <w:t>Ознакомиться с одним из методов измерения индукции магнитного поля.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lang w:val="ru-RU"/>
        </w:rPr>
        <w:t>Изучить магнитное поле тока.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lang w:val="ru-RU"/>
        </w:rPr>
        <w:t>Проверить справедливость принципа суперпозиции полей.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eastAsia="Times New Roman" w:cs="Times New Roman"/>
          <w:sz w:val="32"/>
          <w:szCs w:val="32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lang w:val="ru-RU"/>
        </w:rPr>
        <w:t>Приборы и инструменты: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lang w:val="ru-RU"/>
        </w:rPr>
        <w:t>Две соосные катушки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lang w:val="ru-RU"/>
        </w:rPr>
        <w:t>Измерительная катушка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lang w:val="ru-RU"/>
        </w:rPr>
        <w:t>Осциллограф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lang w:val="ru-RU"/>
        </w:rPr>
        <w:t>Лабораторный макет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lang w:val="ru-RU"/>
        </w:rPr>
        <w:t>Генератор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eastAsia="Times New Roman" w:cs="Times New Roman"/>
          <w:sz w:val="32"/>
          <w:szCs w:val="32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lang w:val="ru-RU"/>
        </w:rPr>
        <w:t>Рабочие формулы: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hAnsi="Cambria Math" w:cs="Times New Roman"/>
          <w:i w:val="0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36"/>
                  <w:szCs w:val="36"/>
                  <w:lang w:val="en-US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36"/>
                  <w:szCs w:val="36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36"/>
              <w:szCs w:val="36"/>
              <w:lang w:val="en-US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sz w:val="36"/>
                  <w:szCs w:val="36"/>
                  <w:lang w:val="en-US"/>
                </w:rPr>
                <m:t>UCR</m:t>
              </m:r>
              <m:ctrlPr>
                <w:rPr>
                  <w:rFonts w:hint="default"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sz w:val="36"/>
                  <w:szCs w:val="36"/>
                  <w:lang w:val="en-US"/>
                </w:rPr>
                <m:t>NS</m:t>
              </m:r>
              <m:ctrlPr>
                <w:rPr>
                  <w:rFonts w:hint="default" w:ascii="Cambria Math" w:hAnsi="Cambria Math" w:cs="Times New Roman"/>
                  <w:i/>
                  <w:sz w:val="36"/>
                  <w:szCs w:val="36"/>
                  <w:lang w:val="en-US"/>
                </w:rPr>
              </m:ctrlPr>
            </m:den>
          </m:f>
        </m:oMath>
      </m:oMathPara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Calibri" w:hAnsi="Cambria Math" w:cs="Times New Roman"/>
          <w:i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N=3000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витков,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R=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125 Ом, С=0,5мкФ,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S=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3,14*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32"/>
                <w:szCs w:val="32"/>
                <w:lang w:val="ru-RU"/>
              </w:rPr>
              <m:t>10</m:t>
            </m: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32"/>
                <w:szCs w:val="32"/>
                <w:lang w:val="ru-RU"/>
              </w:rPr>
              <m:t>−4</m:t>
            </m: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sup>
        </m:sSup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 w:cs="Times New Roman"/>
                <w:sz w:val="32"/>
                <w:szCs w:val="32"/>
                <w:lang w:val="ru-RU"/>
              </w:rPr>
              <m:t>м</m:t>
            </m: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e>
          <m:sup>
            <m:r>
              <m:rPr/>
              <w:rPr>
                <w:rFonts w:hint="default" w:ascii="Cambria Math" w:hAnsi="Cambria Math" w:cs="Times New Roman"/>
                <w:sz w:val="32"/>
                <w:szCs w:val="32"/>
                <w:lang w:val="ru-RU"/>
              </w:rPr>
              <m:t>2</m:t>
            </m: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sup>
        </m:sSup>
      </m:oMath>
      <w:r>
        <w:rPr>
          <w:rFonts w:hint="default" w:ascii="Calibri" w:hAnsi="Cambria Math" w:cs="Times New Roman"/>
          <w:i w:val="0"/>
          <w:sz w:val="32"/>
          <w:szCs w:val="32"/>
          <w:lang w:val="ru-RU"/>
        </w:rPr>
        <w:t>.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Таблица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"/>
        <w:gridCol w:w="987"/>
        <w:gridCol w:w="1028"/>
        <w:gridCol w:w="987"/>
        <w:gridCol w:w="1028"/>
        <w:gridCol w:w="1544"/>
        <w:gridCol w:w="987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restar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х,</w:t>
            </w:r>
          </w:p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baseline"/>
                      <w:lang w:val="ru-RU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ru-RU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baseline"/>
                      <w:lang w:val="ru-RU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  <w:vertAlign w:val="baseline"/>
                      <w:lang w:val="ru-RU"/>
                    </w:rPr>
                    <m:t>−2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baseline"/>
                      <w:lang w:val="ru-RU"/>
                    </w:rPr>
                  </m:ctrlPr>
                </m:sup>
              </m:sSup>
            </m:oMath>
            <w:r>
              <w:rPr>
                <w:rFonts w:hAnsi="Cambria Math" w:cs="Times New Roman"/>
                <w:i w:val="0"/>
                <w:sz w:val="28"/>
                <w:szCs w:val="28"/>
                <w:vertAlign w:val="baseline"/>
                <w:lang w:val="ru-RU"/>
              </w:rPr>
              <w:t>м</w:t>
            </w:r>
          </w:p>
        </w:tc>
        <w:tc>
          <w:tcPr>
            <w:tcW w:w="2130" w:type="dxa"/>
            <w:gridSpan w:val="2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L1</w:t>
            </w:r>
          </w:p>
        </w:tc>
        <w:tc>
          <w:tcPr>
            <w:tcW w:w="2130" w:type="dxa"/>
            <w:gridSpan w:val="2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L2</w:t>
            </w:r>
          </w:p>
        </w:tc>
        <w:tc>
          <w:tcPr>
            <w:tcW w:w="1544" w:type="dxa"/>
            <w:vMerge w:val="restart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B1x+B2x, </w: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мкТл</w:t>
            </w:r>
          </w:p>
        </w:tc>
        <w:tc>
          <w:tcPr>
            <w:tcW w:w="2132" w:type="dxa"/>
            <w:gridSpan w:val="2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L1+L2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</w:p>
        </w:tc>
        <w:tc>
          <w:tcPr>
            <w:tcW w:w="106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U1, B</w:t>
            </w:r>
          </w:p>
        </w:tc>
        <w:tc>
          <w:tcPr>
            <w:tcW w:w="106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 xml:space="preserve">B1x, </w: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мкТл</w:t>
            </w:r>
          </w:p>
        </w:tc>
        <w:tc>
          <w:tcPr>
            <w:tcW w:w="106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  <w:t>U2, B</w:t>
            </w:r>
          </w:p>
        </w:tc>
        <w:tc>
          <w:tcPr>
            <w:tcW w:w="106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В2х,   мкТл</w:t>
            </w:r>
          </w:p>
        </w:tc>
        <w:tc>
          <w:tcPr>
            <w:tcW w:w="1544" w:type="dxa"/>
            <w:vMerge w:val="continue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</w:p>
        </w:tc>
        <w:tc>
          <w:tcPr>
            <w:tcW w:w="106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en-US"/>
              </w:rPr>
            </w:pP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32"/>
                      <w:szCs w:val="32"/>
                      <w:vertAlign w:val="baseline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32"/>
                      <w:szCs w:val="32"/>
                      <w:vertAlign w:val="baseline"/>
                      <w:lang w:val="en-US"/>
                    </w:rPr>
                    <m:t>U</m:t>
                  </m:r>
                  <m:ctrlPr>
                    <w:rPr>
                      <w:rFonts w:hint="default" w:ascii="Cambria Math" w:hAnsi="Cambria Math" w:cs="Times New Roman"/>
                      <w:i/>
                      <w:sz w:val="32"/>
                      <w:szCs w:val="32"/>
                      <w:vertAlign w:val="baseline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32"/>
                      <w:szCs w:val="32"/>
                      <w:vertAlign w:val="baseline"/>
                      <w:lang w:val="en-US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i/>
                      <w:sz w:val="32"/>
                      <w:szCs w:val="32"/>
                      <w:vertAlign w:val="baseline"/>
                      <w:lang w:val="ru-RU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/>
                <w:i w:val="0"/>
                <w:sz w:val="32"/>
                <w:szCs w:val="32"/>
                <w:vertAlign w:val="baseline"/>
                <w:lang w:val="en-US"/>
              </w:rPr>
              <w:t>, B</w:t>
            </w:r>
          </w:p>
        </w:tc>
        <w:tc>
          <w:tcPr>
            <w:tcW w:w="106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m:oMath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32"/>
                      <w:szCs w:val="32"/>
                      <w:vertAlign w:val="baseline"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32"/>
                      <w:szCs w:val="32"/>
                      <w:vertAlign w:val="baseline"/>
                      <w:lang w:val="en-US"/>
                    </w:rPr>
                    <m:t>B</m:t>
                  </m:r>
                  <m:ctrlPr>
                    <w:rPr>
                      <w:rFonts w:hint="default" w:ascii="Cambria Math" w:hAnsi="Cambria Math" w:cs="Times New Roman"/>
                      <w:i/>
                      <w:sz w:val="32"/>
                      <w:szCs w:val="32"/>
                      <w:vertAlign w:val="baseline"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32"/>
                      <w:szCs w:val="32"/>
                      <w:vertAlign w:val="baseline"/>
                      <w:lang w:val="en-US"/>
                    </w:rPr>
                    <m:t>px</m:t>
                  </m:r>
                  <m:ctrlPr>
                    <w:rPr>
                      <w:rFonts w:hint="default" w:ascii="Cambria Math" w:hAnsi="Cambria Math" w:cs="Times New Roman"/>
                      <w:i/>
                      <w:sz w:val="32"/>
                      <w:szCs w:val="32"/>
                      <w:vertAlign w:val="baseline"/>
                      <w:lang w:val="ru-RU"/>
                    </w:rPr>
                  </m:ctrlPr>
                </m:sub>
              </m:sSub>
            </m:oMath>
            <w:r>
              <w:rPr>
                <w:rFonts w:hint="default" w:hAnsi="Cambria Math" w:cs="Times New Roman"/>
                <w:i w:val="0"/>
                <w:sz w:val="32"/>
                <w:szCs w:val="32"/>
                <w:vertAlign w:val="baseline"/>
                <w:lang w:val="en-US"/>
              </w:rPr>
              <w:t xml:space="preserve">,   </w:t>
            </w:r>
            <w:r>
              <w:rPr>
                <w:rFonts w:hint="default" w:hAnsi="Cambria Math" w:cs="Times New Roman"/>
                <w:i w:val="0"/>
                <w:sz w:val="32"/>
                <w:szCs w:val="32"/>
                <w:vertAlign w:val="baseline"/>
                <w:lang w:val="ru-RU"/>
              </w:rPr>
              <w:t>мкТл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-4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3,56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236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0,6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40</w:t>
            </w:r>
          </w:p>
        </w:tc>
        <w:tc>
          <w:tcPr>
            <w:tcW w:w="154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276</w:t>
            </w:r>
            <w:bookmarkStart w:id="0" w:name="_GoBack"/>
            <w:bookmarkEnd w:id="0"/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2,62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174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-3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6,2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212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0,78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52</w:t>
            </w:r>
          </w:p>
        </w:tc>
        <w:tc>
          <w:tcPr>
            <w:tcW w:w="154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264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2,2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146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-2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2,72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180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1,02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67</w:t>
            </w:r>
          </w:p>
        </w:tc>
        <w:tc>
          <w:tcPr>
            <w:tcW w:w="154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247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1,48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0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1,74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115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1,76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117</w:t>
            </w:r>
          </w:p>
        </w:tc>
        <w:tc>
          <w:tcPr>
            <w:tcW w:w="154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232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0,08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2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1,02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67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2,48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165</w:t>
            </w:r>
          </w:p>
        </w:tc>
        <w:tc>
          <w:tcPr>
            <w:tcW w:w="154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232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1,6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3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0,78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52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3,24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215</w:t>
            </w:r>
          </w:p>
        </w:tc>
        <w:tc>
          <w:tcPr>
            <w:tcW w:w="154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267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2,24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149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4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0,6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40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3,54</w:t>
            </w:r>
          </w:p>
        </w:tc>
        <w:tc>
          <w:tcPr>
            <w:tcW w:w="1065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234</w:t>
            </w:r>
          </w:p>
        </w:tc>
        <w:tc>
          <w:tcPr>
            <w:tcW w:w="154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274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2,66</w:t>
            </w:r>
          </w:p>
        </w:tc>
        <w:tc>
          <w:tcPr>
            <w:tcW w:w="106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u-RU"/>
              </w:rPr>
              <w:t>176</w:t>
            </w:r>
          </w:p>
        </w:tc>
      </w:tr>
    </w:tbl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Выводы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При выполнении этой лабораторной работы мы убедились в справедливости принцпа суперпозиции магнитных полей и изучили магнитное поле тока катушки.</w:t>
      </w: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 xml:space="preserve">1,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Магнитное поле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– это силовое поле, действующее на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движущиеся электрические заряды, проводники с током и на тела, обладающие магнитным моментом (независимо от состояния их движения). Эти же объекты являются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источниками магнитных полей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.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П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ринцип суперпозиции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: магнитное поле, порождаемое несколькими движущимися зарядами (токами) в данной точке пространства, равно векторной сумме магнитных полей, порождаемых каждым зарядом (током) в этой точке в отдельности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.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2,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5272405" cy="3157855"/>
            <wp:effectExtent l="0" t="0" r="4445" b="4445"/>
            <wp:docPr id="1" name="Изображение 1" descr="Закон Био-Савара-Лапла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Закон Био-Савара-Лапласа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3, Я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влени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е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электромагнитной индукции – возникновении ЭДС индукции в измерительной катушке (зонде) при изменении магнитного потока Ф через поверхность, ограниченную витками катушки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.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Направление индукционного тока определяется с помощью закона сохранения энергии. Индукционный ток во всех случаях направлен так, чтобы своим магнитным полем препятствовать изменению магнитного потока, вызывающего данный индукционный ток.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732501"/>
    <w:multiLevelType w:val="singleLevel"/>
    <w:tmpl w:val="AB73250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F07C6A0"/>
    <w:multiLevelType w:val="singleLevel"/>
    <w:tmpl w:val="DF07C6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C6028"/>
    <w:rsid w:val="00E35B91"/>
    <w:rsid w:val="08AC6028"/>
    <w:rsid w:val="0D480C9E"/>
    <w:rsid w:val="17817323"/>
    <w:rsid w:val="3F192DC7"/>
    <w:rsid w:val="40F5695A"/>
    <w:rsid w:val="41DB0080"/>
    <w:rsid w:val="44CF534A"/>
    <w:rsid w:val="45181D45"/>
    <w:rsid w:val="47327DD4"/>
    <w:rsid w:val="4B271062"/>
    <w:rsid w:val="5086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2023-03-02T10:54:00Z</dcterms:created>
  <dc:creator>khudo</dc:creator>
  <cp:lastModifiedBy>khudo</cp:lastModifiedBy>
  <cp:lastPrinted>2023-03-29T20:32:00Z</cp:lastPrinted>
  <dcterms:modified xsi:type="dcterms:W3CDTF">2023-03-30T10:36:21Z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DE3C1A7A27424DBD9736C0F5272270F6</vt:lpwstr>
  </property>
</Properties>
</file>