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Министерство образования Республики Беларусь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Учреждение образования</w:t>
      </w: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БЕЛОРУССКИЙ ГОСУДАРСТВЕННЫЙ УНИВЕРСИТЕТ</w:t>
      </w: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ИНФОРМАТИКИ И РАДИОЭЛЕКТРОНИКИ</w:t>
      </w: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 xml:space="preserve">Факультет </w:t>
      </w:r>
      <w:r>
        <w:rPr>
          <w:rFonts w:ascii="Times New Roman" w:cs="Times New Roman" w:hAnsi="Times New Roman"/>
          <w:sz w:val="28"/>
          <w:szCs w:val="28"/>
          <w:lang w:val="ru-RU"/>
        </w:rPr>
        <w:t>Информационных технологий и управления</w:t>
      </w: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  <w:lang w:val="ru-RU"/>
        </w:rPr>
        <w:t>ОТЧЁТ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по дисциплине «Проектирование баз знаний»</w:t>
      </w: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Лабораторная работа No1</w:t>
      </w: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Вариант 7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right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Выполнил: Карпук М. В.</w:t>
      </w:r>
    </w:p>
    <w:p>
      <w:pPr>
        <w:jc w:val="right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гр. 221701</w:t>
      </w:r>
    </w:p>
    <w:p>
      <w:pPr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jc w:val="right"/>
        <w:rPr>
          <w:rFonts w:ascii="Times New Roman" w:cs="Times New Roman" w:hAnsi="Times New Roman"/>
          <w:sz w:val="28"/>
          <w:szCs w:val="28"/>
          <w:lang w:val="ru-RU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Проверил: М. Г. Соколович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  <w:lang w:val="ru-RU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ru-RU"/>
        </w:rPr>
        <w:t>Минск 2024</w:t>
      </w:r>
    </w:p>
    <w:p>
      <w:pPr>
        <w:jc w:val="center"/>
        <w:rPr>
          <w:rFonts w:ascii="Segoe UI"/>
          <w:color w:val="000000"/>
          <w:sz w:val="18"/>
          <w:lang w:val="en-US"/>
        </w:rPr>
      </w:pPr>
      <w:r>
        <w:rPr>
          <w:rFonts w:ascii="Times New Roman" w:cs="Times New Roman" w:hAnsi="Times New Roman"/>
          <w:b/>
          <w:bCs/>
          <w:sz w:val="28"/>
          <w:szCs w:val="28"/>
          <w:lang w:val="ru-RU"/>
        </w:rPr>
        <w:t>Задание 1</w:t>
      </w:r>
    </w:p>
    <w:p>
      <w:pPr>
        <w:pStyle w:val="ListParagraph"/>
        <w:numPr>
          <w:ilvl w:val="1"/>
          <w:numId w:val="5"/>
        </w:numPr>
        <w:rPr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t>Получить полную информацию обо всех преподавателях.</w:t>
      </w:r>
    </w:p>
    <w:p>
      <w:pPr>
        <w:pStyle w:val="ListParagraph"/>
        <w:ind w:left="0" w:right="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ru-RU"/>
        </w:rPr>
        <w:drawing xmlns:mc="http://schemas.openxmlformats.org/markup-compatibility/2006">
          <wp:inline>
            <wp:extent cx="1892935" cy="335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drawing xmlns:mc="http://schemas.openxmlformats.org/markup-compatibility/2006">
          <wp:inline>
            <wp:extent cx="4251960" cy="1024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firstLine="0"/>
        <w:rPr>
          <w:b/>
          <w:bCs/>
          <w:sz w:val="28"/>
          <w:szCs w:val="28"/>
          <w:lang w:val="ru-RU"/>
        </w:rPr>
      </w:pPr>
    </w:p>
    <w:p>
      <w:pPr>
        <w:pStyle w:val="ListParagraph"/>
        <w:numPr>
          <w:ilvl w:val="1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</w:t>
      </w:r>
      <w:r>
        <w:rPr>
          <w:sz w:val="28"/>
          <w:szCs w:val="28"/>
        </w:rPr>
        <w:t xml:space="preserve"> полную информацию обо всех студенческих группах на специальности ЭВМ.</w:t>
      </w:r>
    </w:p>
    <w:p>
      <w:pPr>
        <w:pStyle w:val="ListParagraph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413766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Grp="0" noSelect="0" noChangeAspect="1" noMove="0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4023360" cy="770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Grp="0" noSelect="0" noChangeAspect="1" noMove="0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личный номер преподавателя и номера аудиторий, в которых они преподают предмет с кодовым номером 18П.</w:t>
      </w:r>
    </w:p>
    <w:p>
      <w:pPr>
        <w:pStyle w:val="ListParagraph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4420235" cy="252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Grp="0" noSelect="0" noChangeAspect="1" noMove="0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1842135" cy="74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предметов и названия предметов, которые ведет преподаватель Костин.</w:t>
      </w:r>
    </w:p>
    <w:p>
      <w:pPr>
        <w:pStyle w:val="ListParagraph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2934335" cy="1337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1416685" cy="755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 группы, в которой ведутся предметы преподавателем Фроловым.</w:t>
      </w:r>
    </w:p>
    <w:p>
      <w:pPr>
        <w:pStyle w:val="ListParagraph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168650" cy="843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1199515" cy="763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информацию о предметах, которые ведутся на специальности АСОИ.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4676140" cy="201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2534920" cy="73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информацию о преподавателях, которые ведут предметы на специальности АСОИ.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346450" cy="1588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924935" cy="865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Grp="0" noSelect="0" noChangeAspect="1" noMove="0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фамилии преподавателей, которые ведут предметы в 210 аудитории.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896995" cy="975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876300" cy="739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>
                      <a:picLocks noGrp="0" noSelect="0" noChangeAspect="1" noMove="0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названия предметов и названия групп, которые ведут занятия в аудиториях с 100 по 200.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4290060" cy="836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Grp="0" noSelect="0" noChangeAspect="1" noMove="0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2030730" cy="12814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>
                      <a:picLocks noGrp="0" noSelect="0" noChangeAspect="1" noMove="0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пары номеров групп с одной специальности.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4028440" cy="5505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Grp="0" noSelect="0" noChangeAspect="1" noMove="0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1236345" cy="523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>
                      <a:picLocks noGrp="0" noSelect="0" noChangeAspect="1" noMove="0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общее количество студентов, обучающихся на специальности ЭВМ.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4594860" cy="228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Grp="0" noSelect="0" noChangeAspect="1" noMove="0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1418590" cy="471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>
                      <a:picLocks noGrp="0" noSelect="0" noChangeAspect="1" noMove="0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преподавателей, обучающих студентов по специальности ЭВМ.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047365" cy="1339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Grp="0" noSelect="0" noChangeAspect="1" noMove="0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815340" cy="672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>
                      <a:picLocks noGrp="0" noSelect="0" noChangeAspect="1" noMove="0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номера предметов, изучаемых всеми студенческими группами.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869690" cy="779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Grp="0" noSelect="0" noChangeAspect="1" noMove="0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1202690" cy="448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>
                      <a:picLocks noGrp="0" noSelect="0" noChangeAspect="1" noMove="0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фамилии преподавателей, преподающих те же предметы, что и преподаватель преподающий предмет с номером 14П.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747135" cy="2557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Grp="0" noSelect="0" noChangeAspect="1" noMove="0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902335" cy="408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>
                      <a:picLocks noGrp="0" noSelect="0" noChangeAspect="1" noMove="0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33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информацию о предметах, которые не ведет преподаватель с личным номером 221П.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2229485" cy="1141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Grp="0" noSelect="0" noChangeAspect="1" noMove="0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276600" cy="12998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>
                      <a:picLocks noGrp="0" noSelect="0" noChangeAspect="1" noMove="0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информацию о предметах, которые не изучаются в группе М-6.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2338705" cy="1962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Grp="0" noSelect="0" noChangeAspect="1" noMove="0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209925" cy="146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>
                      <a:picLocks noGrp="0" noSelect="0" noChangeAspect="1" noMove="0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информацию о доцентах, преподающих в группах 3Г и 8Г.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796665" cy="9378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Grp="0" noSelect="0" noChangeAspect="1" noMove="0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409950" cy="854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"/>
                    <pic:cNvPicPr>
                      <a:picLocks noGrp="0" noSelect="0" noChangeAspect="1" noMove="0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номера предметов, номера преподавателей, номера групп, в которых ведут занятия преподаватели с кафедры ЭВМ, имеющих специальность АСОИ.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3960495" cy="1207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Grp="0" noSelect="0" noChangeAspect="1" noMove="0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2451100" cy="9309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>
                      <a:picLocks noGrp="0" noSelect="0" noChangeAspect="1" noMove="0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групп с такой же специальностью, что и специальность преподавателей.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396615" cy="26212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1261745" cy="9823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38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преподавателей с кафедры ЭВМ, преподающих предметы по специальности, совпадающей со специальностью студенческой группы.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2955925" cy="1836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759460" cy="6051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специальности студенческой группы, на которых работают преподаватели кафедры АСУ.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529330" cy="1647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1048385" cy="643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>
                      <a:picLocks noGrp="0" noSelect="0" noChangeAspect="1" noMove="0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предметов, изучаемых группой АС-8.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368675" cy="947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901065" cy="6915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>
                      <a:picLocks noGrp="0" noSelect="0" noChangeAspect="1" noMove="0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студенческих групп, которые изучают те же предметы, что и студенческая группа АС-8.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016885" cy="2117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Grp="0" noSelect="0" noChangeAspect="1" noMove="0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975995" cy="11912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"/>
                    <pic:cNvPicPr>
                      <a:picLocks noGrp="0" noSelect="0" noChangeAspect="1" noMove="0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663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Получить номера студенческих групп, которые не изучают предметы, преподаваемых в студенческой группе АС-8.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2889885" cy="13950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Grp="0" noSelect="0" noChangeAspect="1" noMove="0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 xmlns:mc="http://schemas.openxmlformats.org/markup-compatibility/2006">
          <wp:inline>
            <wp:extent cx="1259840" cy="11791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"/>
                    <pic:cNvPicPr>
                      <a:picLocks noGrp="0" noSelect="0" noChangeAspect="1" noMove="0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Получить номера студенческих групп, которые не изучают предметы, преподаваемых преподавателем 430Л.</w:t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3898900" cy="803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Grp="0" noSelect="0" noChangeAspect="1" noMove="0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 xmlns:mc="http://schemas.openxmlformats.org/markup-compatibility/2006">
          <wp:inline>
            <wp:extent cx="1021080" cy="1114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"/>
                    <pic:cNvPicPr>
                      <a:picLocks noGrp="0" noSelect="0" noChangeAspect="1" noMove="0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5"/>
        </w:numPr>
        <w:spacing w:after="0"/>
        <w:rPr>
          <w:rFonts w:ascii="Segoe UI"/>
          <w:color w:val="000000"/>
          <w:sz w:val="18"/>
          <w:lang w:val="en-US"/>
        </w:rPr>
      </w:pPr>
      <w:r>
        <w:rPr>
          <w:sz w:val="28"/>
          <w:szCs w:val="28"/>
          <w:lang w:val="ru-RU"/>
        </w:rPr>
        <w:t>Получить номера преподавателей, работающих с группой Э-15, но не преподающих предмет 12П.</w:t>
      </w:r>
    </w:p>
    <w:p>
      <w:pPr>
        <w:pStyle w:val="ListParagraph"/>
        <w:spacing w:after="0"/>
        <w:ind w:left="0" w:right="0" w:firstLine="0"/>
        <w:rPr>
          <w:rFonts w:ascii="Segoe UI"/>
          <w:color w:val="000000"/>
          <w:sz w:val="18"/>
          <w:lang w:val="en-US"/>
        </w:rPr>
      </w:pPr>
      <w:r>
        <w:rPr>
          <w:rFonts w:ascii="Segoe UI"/>
          <w:color w:val="000000"/>
          <w:sz w:val="18"/>
          <w:lang w:val="en-US"/>
        </w:rPr>
        <w:drawing xmlns:mc="http://schemas.openxmlformats.org/markup-compatibility/2006">
          <wp:inline>
            <wp:extent cx="3912870" cy="14757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Grp="0" noSelect="0" noChangeAspect="1" noMove="0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144905" cy="6419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"/>
                    <pic:cNvPicPr>
                      <a:picLocks noGrp="0" noSelect="0" noChangeAspect="1" noMove="0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jc w:val="center"/>
        <w:rPr>
          <w:rFonts w:ascii="Times New Roman" w:cs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color w:val="000000"/>
          <w:sz w:val="28"/>
          <w:szCs w:val="28"/>
          <w:lang w:val="ru-RU"/>
        </w:rPr>
        <w:t>Задание 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№26: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номера проектов, для которых среднее количество поставляемых деталей Д1 больше, чем наибольшее количество любых деталей, поставляемых для проекта ПР1.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731510" cy="12490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Grp="0" noSelect="0" noChangeAspect="1" noMove="0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2238375" cy="565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№17: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. Для каждой детали, поставляемой для проекта, получить номер детали, номер проекта и соответствующее общее количество.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4861560" cy="3498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Grp="0" noSelect="0" noChangeAspect="1" noMove="0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723390" cy="2654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№25: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номера проектов, город которых стоит первым в алфавитном списке городов.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3084195" cy="10388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913130" cy="3816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3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№8: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все такие тройки "номера поставщиков-номера деталей-номера проектов", для которых никакие из двух выводимых поставщиков, деталей и проектов не размещены в одном городе.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731510" cy="7664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671320" cy="25419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"/>
                    <pic:cNvPicPr>
                      <a:picLocks noGrp="0" noSelect="0" noChangeAspect="1" noMove="0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№2: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полную информацию обо всех проектах в Лондоне.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2698750" cy="4851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301750" cy="4527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№7: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все такие тройки "номера поставщиков-номера деталей-номера проектов", для которых выводимые поставщик, деталь и проект не размещены в одном городе.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888355" cy="8007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200150" cy="23475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78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№11: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все пары названий городов, для которых поставщик из первого города обеспечивает проект во втором городе.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731510" cy="539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391920" cy="3136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"/>
                    <pic:cNvPicPr>
                      <a:picLocks noGrp="0" noSelect="0" noChangeAspect="1" noMove="0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t xml:space="preserve">№36: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все пары номеров поставщиков, скажем, Пx и Пy, такие, что оба эти поставщика поставляют в точности одно и то же множество деталей.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731510" cy="21367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>
                      <a:picLocks noGrp="0" noSelect="0" noChangeAspect="1" noMove="0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2264410" cy="4578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"/>
                    <pic:cNvPicPr>
                      <a:picLocks noGrp="0" noSelect="0" noChangeAspect="1" noMove="0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№16: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общее количество деталей Д1, поставляемых поставщиком П1.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3404235" cy="5111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>
                      <a:picLocks noGrp="0" noSelect="0" noChangeAspect="1" noMove="0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071245" cy="3746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"/>
                    <pic:cNvPicPr>
                      <a:picLocks noGrp="0" noSelect="0" noChangeAspect="1" noMove="0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240" w:lineRule="auto"/>
        <w:ind w:left="0" w:right="0" w:firstLine="0"/>
        <w:jc w:val="left"/>
        <w:rPr>
          <w:rFonts w:ascii="Times New Roman" w:cs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t xml:space="preserve">№31: </w:t>
      </w:r>
      <w:r>
        <w:rPr>
          <w:rFonts w:ascii="Times New Roman" w:cs="Times New Roman" w:hAnsi="Times New Roman"/>
          <w:color w:val="000000"/>
          <w:sz w:val="28"/>
          <w:szCs w:val="28"/>
          <w:rtl w:val="off"/>
          <w:lang w:val="en-US"/>
        </w:rPr>
        <w:t xml:space="preserve">Получить номера поставщиков, поставляющих одну и ту же деталь для всех проектов. </w:t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5731510" cy="609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"/>
                    <pic:cNvPicPr>
                      <a:picLocks noGrp="0" noSelect="0" noChangeAspect="1" noMove="0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  <w:drawing xmlns:mc="http://schemas.openxmlformats.org/markup-compatibility/2006">
          <wp:inline>
            <wp:extent cx="1281430" cy="4927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>
                      <a:picLocks noGrp="0" noSelect="0" noChangeAspect="1" noMove="0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jc w:val="left"/>
        <w:rPr>
          <w:rFonts w:ascii="Times New Roman" w:cs="Times New Roman" w:hAnsi="Times New Roman"/>
          <w:b w:val="off"/>
          <w:bCs w:val="off"/>
          <w:color w:val="000000"/>
          <w:sz w:val="28"/>
          <w:szCs w:val="28"/>
          <w:lang w:val="en-US"/>
        </w:rPr>
      </w:pPr>
    </w:p>
    <w:p>
      <w:pPr>
        <w:pStyle w:val="ListParagraph"/>
        <w:spacing w:after="0"/>
        <w:ind w:left="0" w:right="0" w:firstLine="0"/>
        <w:rPr>
          <w:rFonts w:ascii="Segoe UI"/>
          <w:color w:val="000000"/>
          <w:sz w:val="18"/>
          <w:lang w:val="en-US"/>
        </w:rPr>
      </w:pPr>
    </w:p>
    <w:p>
      <w:pPr>
        <w:ind w:right="0"/>
        <w:jc w:val="left"/>
        <w:rPr>
          <w:rFonts w:ascii="Times New Roman" w:cs="Times New Roman" w:hAnsi="Times New Roman"/>
          <w:sz w:val="28"/>
          <w:szCs w:val="28"/>
        </w:rPr>
      </w:pPr>
    </w:p>
    <w:sectPr>
      <w:footnotePr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1">
    <w:multiLevelType w:val="hybridMultilevel"/>
    <w:lvl w:ilvl="0" w:tentative="0">
      <w:start w:val="1"/>
      <w:numFmt w:val="decimal"/>
      <w:isLgl w:val="off"/>
      <w:suff w:val="tab"/>
      <w:lvlText w:val="1.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3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4">
    <w:multiLevelType w:val="multilevel"/>
    <w:lvl w:ilvl="0" w:tentative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fontTable" Target="fontTable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tyles" Target="style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numbering" Target="numbering.xml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" Type="http://schemas.openxmlformats.org/officeDocument/2006/relationships/image" Target="media/image1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" Type="http://schemas.openxmlformats.org/officeDocument/2006/relationships/image" Target="media/image2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" Type="http://schemas.openxmlformats.org/officeDocument/2006/relationships/image" Target="media/image3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settings" Target="settings.xml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латентный максимос</dc:creator>
  <cp:lastModifiedBy>латентный максимос</cp:lastModifiedBy>
</cp:coreProperties>
</file>