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and downstream mapping</w:t>
      </w:r>
    </w:p>
    <w:p>
      <w:r>
        <w:t>Draft 0.2   •   Independent firmware reconstruction   •   4 October 2026</w:t>
      </w:r>
    </w:p>
    <w:p>
      <w:pPr>
        <w:pStyle w:val="Heading1"/>
      </w:pPr>
      <w:r>
        <w:t>1 Scope and operating model</w:t>
      </w:r>
    </w:p>
    <w:p>
      <w:r>
        <w:t>This document explains how the recovered x2 implementation selects an asymmetric connection, announces directional modulation parameters, starts its training source and prepares downstream signal tables. It covers the Courier 3453C analogue client, the original I-modem server and additional mapper evidence from the later Quad server firmware.</w:t>
      </w:r>
    </w:p>
    <w:p>
      <w:r>
        <w:t>The client retains executable x2 setup and DSP code. The server capability exchange and sample transforms have been reconstructed. New component work identifies six mapping positions, a two-bit choice for each position and the expansion of two candidate codeword sets into six working banks. The physical placement of the Quad mapper overlay still requires validation, so those new results are provisional.</w:t>
      </w:r>
    </w:p>
    <w:p>
      <w:r>
        <w:t>The digital server supplies downstream sample codewords. The analogue client receives the resulting waveform and must recover the information represented by the chosen levels. The upstream direction uses the related V.34 machinery. Negotiation therefore has to agree both the directional modulation choice and the parameters that make the downstream levels distinguishable at the client.</w:t>
      </w:r>
    </w:p>
    <w:p>
      <w:r>
        <w:t>A constellation is the set of signal levels available for carrying data. A mapper selects members of that set from input data; the receiver performs the inverse operation. A table of levels is only one part of that process. It does not, on its own, establish data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for the tested inputs and entry conditions.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the described operation; a complete call has not been validated.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Firmware addresses, memory layouts and reproduction commands are confined to Annex A. The main clauses describe connection behavior and signal parameters. Timing and interoperability requirements are stated only where the evidence supports them.</w:t>
      </w:r>
    </w:p>
    <w:p>
      <w:r>
        <w:br w:type="page"/>
      </w:r>
    </w:p>
    <w:p>
      <w:pPr>
        <w:pStyle w:val="Heading1"/>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two candidate level sets and distribute choices across six mapping positions.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payload to downstream codewords and recover payload at the client. The complete inverse and frame-alignment procedure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A later announcement can name equal modulation indices in both directions, providing evidence of a symmetric alternative. The precise transition from rejected x2 operation to an established fallback connection is still open.</w:t>
      </w:r>
    </w:p>
    <w:p>
      <w:pPr>
        <w:pStyle w:val="Heading2"/>
      </w:pPr>
      <w:r>
        <w:t>3 2 What remains to connect</w:t>
      </w:r>
    </w:p>
    <w:p>
      <w:r>
        <w:t>The client stores the x2 capability supplied by its supervisor, but the consumer that connects that particular store to the transmitted capability buffer has not been traced. Its tested initialization fragment reads a different capability word. This missing connection is specific to the 3453C profile and must be resolved before claiming complete client negotiation.</w:t>
      </w:r>
    </w:p>
    <w:p>
      <w:r>
        <w:br w:type="page"/>
      </w:r>
    </w:p>
    <w:p>
      <w:pPr>
        <w:pStyle w:val="Heading1"/>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indices and differ only in carrier choice. These values come from the inspected Courier announcement builders; they have not been established as a complete set of every possible x2 peer message.</w:t>
      </w:r>
    </w:p>
    <w:p>
      <w:r>
        <w:br w:type="page"/>
      </w:r>
    </w:p>
    <w:p>
      <w:pPr>
        <w:pStyle w:val="Heading1"/>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 remains open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No receiver for the proprietary seven-bit body has been conclusively identified. The framing script proves construction of an announcement; it does not prove how a server accepts it. The document therefore does not assign an acknowledgement, timeout or retry procedure to this message.</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r>
        <w:br w:type="page"/>
      </w:r>
    </w:p>
    <w:p>
      <w:pPr>
        <w:pStyle w:val="Heading1"/>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r>
        <w:br w:type="page"/>
      </w:r>
    </w:p>
    <w:p>
      <w:pPr>
        <w:pStyle w:val="Heading1"/>
      </w:pPr>
      <w:r>
        <w:t>7 Downstream mapping organization</w:t>
      </w:r>
    </w:p>
    <w:p>
      <w:pPr>
        <w:pStyle w:val="Heading2"/>
      </w:pPr>
      <w:r>
        <w:t>7 1 Six positions and two candidate sets</w:t>
      </w:r>
    </w:p>
    <w:p>
      <w:r>
        <w:t>The new Quad component reconstruction exposes six two-bit position fields packed into twelve bits. One routine counts positions whose field is nonzero. A second assigns one of two candidate set sizes to each position: field zero chooses the high-byte size and fields 1, 2 or 3 choose the low-byte size. All 4,096 combinations of the position fields have been compared against the original instructions under the provisional overlay placement.</w:t>
      </w:r>
    </w:p>
    <w:p>
      <w:pPr>
        <w:pStyle w:val="Caption"/>
      </w:pPr>
      <w:r>
        <w:t>Table 8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Field</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is a separate stored attribute. Its interpretation as sign, orientation or another signal property is not yet established. It must not be called a sign bit merely because it distinguishes two variants.</w:t>
      </w:r>
    </w:p>
    <w:p>
      <w:pPr>
        <w:pStyle w:val="Heading2"/>
      </w:pPr>
      <w:r>
        <w:t>7 2 Expansion into working banks</w:t>
      </w:r>
    </w:p>
    <w:p>
      <w:r>
        <w:t>A following component constructs six working banks from the two candidate tables. It consumes one position field per bank, chooses the corresponding source set and copies its configured length. An odd position field sets an additional flag in each copied entry. Successive destination banks begin 128 words apart.</w:t>
      </w:r>
    </w:p>
    <w:p>
      <w:r>
        <w:t>The copy instruction treats the stored length as a last index: a configured value of three copies four entries. This convention is included in the reconstruction and prevents the table size from being understated by one. The candidate sizes distributed by the earlier routine and the configured copy lengths still require a full caller-context trace.</w:t>
      </w:r>
    </w:p>
    <w:p>
      <w:r>
        <w:t>The expansion was compared in 192 generated contexts containing both zero and nonzero position fields and varying source entries. Together with the count and size-distribution checks, this adds 8,384 component comparisons. These checks verify the stated six-position operations under the placement assumption; they do not verify a full mapper call.</w:t>
      </w:r>
    </w:p>
    <w:p>
      <w:pPr>
        <w:pStyle w:val="Heading2"/>
      </w:pPr>
      <w:r>
        <w:t>7 3 Overlay placement qualification</w:t>
      </w:r>
    </w:p>
    <w:p>
      <w:r>
        <w:t>The earlier Quad placement leaves internal calls and table references one word before their intended targets. Omitting the leading erased word produces coherent internal targets and the paired tables in clause 8. The six-position components also execute consistently under that placement.</w:t>
      </w:r>
    </w:p>
    <w:p>
      <w:r>
        <w:t>This is strong evidence for correcting the alignment, but the stock downloader has not yet demonstrated the omission. The provisional placement is kept separate from the existing program map. The earlier raw selector value that decoded as a return instruction, and the earlier nine-word tables with an extra leading value, shall not be used as established mapping parameters.</w:t>
      </w:r>
    </w:p>
    <w:p>
      <w:r>
        <w:br w:type="page"/>
      </w:r>
    </w:p>
    <w:p>
      <w:pPr>
        <w:pStyle w:val="Heading1"/>
      </w:pPr>
      <w:r>
        <w:t>8 Codeword sets and signal realization</w:t>
      </w:r>
    </w:p>
    <w:p>
      <w:pPr>
        <w:pStyle w:val="Heading2"/>
      </w:pPr>
      <w:r>
        <w:t>8 1 Paired candidate tables</w:t>
      </w:r>
    </w:p>
    <w:p>
      <w:r>
        <w:t>Under the provisional placement, the constructor copies the two nine-entry tables in Table 9. Every value in the second table is sixteen lower than the corresponding value in the first. This resolves the shifted outputs in the earlier draft at the component level, while leaving download alignment to be verified.</w:t>
      </w:r>
    </w:p>
    <w:p>
      <w:pPr>
        <w:pStyle w:val="Caption"/>
      </w:pPr>
      <w:r>
        <w:t>Table 9 — Paired candidate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8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A complete payload mapper still needs the rule that converts a group of input bits into six selected entries, any redundancy or shaping constraints, the sign and flag interpretation, the conversion from stored entries to actual PCM samples, and the exact frame boundary. The analogue receiver must then implement the corresponding inverse after channel equalization.</w:t>
      </w:r>
    </w:p>
    <w:p>
      <w:pPr>
        <w:pStyle w:val="Heading2"/>
      </w:pPr>
      <w:r>
        <w:t>8 3 Remaining negotiation and mapping requirements</w:t>
      </w:r>
    </w:p>
    <w:p>
      <w:r>
        <w:t>The next required checks are to validate the stock overlay transfer, run the constructor and consumers as one chain, trace the received bitmap into the six position fields, and connect the agreed rate to the input-bit grouping. A full call trace must establish the alignment signal and show that the client accepts the selected constellations.</w:t>
      </w:r>
    </w:p>
    <w:p>
      <w:r>
        <w:t>No interoperability claim is made from the present component results. The document now specifies the recovered preparation behavior and identifies precisely which procedures still prevent an end-to-end x2 implementation.</w:t>
      </w:r>
    </w:p>
    <w:p>
      <w:r>
        <w:br w:type="page"/>
      </w:r>
    </w:p>
    <w:p>
      <w:pPr>
        <w:pStyle w:val="Heading1"/>
      </w:pPr>
      <w:r>
        <w:t>Annex A Firmware evidence and reproduction</w:t>
      </w:r>
    </w:p>
    <w:p>
      <w: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PCM helpers and provisional six-position mapper</w:t>
            </w:r>
          </w:p>
        </w:tc>
      </w:tr>
    </w:tbl>
    <w:p/>
    <w:p>
      <w:r>
        <w:t>Client evidence is in artifacts/3453c-x2-decomp-20261004. Server evidence is in artifacts/x2-server-decomp-20261004. New conditional mapper evidence is in artifacts/x2-mapper-negotiation-20261004, including mapper_lift.c, mapper-alignment.asm and verification.json.</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Cases</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1,769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Earlier 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Raw placement; isolated checks do not validate the whole overlay</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New mapper components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Conditional alignment; separate from confirmed placement</w:t>
            </w:r>
          </w:p>
        </w:tc>
      </w:tr>
    </w:tbl>
    <w:p/>
    <w:p>
      <w:r>
        <w:t>The new mapper entries are C6E5 for the six-position count, C6F4 for size distribution and C92A for descriptor expansion under the conditional placement. The first candidate source is 0A60 and the second is 0880; expanded banks begin at E8F4 with a stride of 0080. The codeword constructor is C9BF under that placement.</w:t>
      </w:r>
    </w:p>
    <w:p>
      <w:r>
        <w:t>Reproduce with tools/recover_3453c_x2.py, tools/recover_x2_server.py and tools/recover_x2_mapper.py using the repository virtual environment. The last script explicitly marks its placement assumption and does not alter the production overlay map. It compiles the manual C lifts and compares their data effects with original instructions in the native emulator.</w:t>
      </w:r>
    </w:p>
    <w:p>
      <w:r>
        <w:t>Negotiation construction and historical corrections are documented in docs/x2-v90-protocol-selection.md. In particular, its preamble-detector correction supersedes the earlier proposed receiver for the seven-bit body. The standard field terminology follows ITU-T V.34 Table 14; official publication: https://www.itu.int/rec/T-REC-V.34-199610-S/en. V.90 context: https://handle.itu.int/11.1002/1000/4493.</w:t>
      </w:r>
    </w:p>
    <w:p>
      <w:r>
        <w:t>Draft 0.2 replaces address-led explanations with operating procedures and adds provisional six-position mapper behavior, announcement framing and an explicit receiver-recognition gap. Complete call negotiation and downstream payload mapping remain open.</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and downstream mapping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