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rFonts w:ascii="DengXian" w:cs="DengXian" w:eastAsia="DengXian" w:hAnsi="DengXian"/>
          <w:b/>
          <w:bCs/>
          <w:color w:val="1E5C8A"/>
          <w:sz w:val="52"/>
          <w:szCs w:val="52"/>
        </w:rPr>
        <w:t xml:space="preserve">汽配仓库管理系统 (WMS)</w:t>
      </w:r>
    </w:p>
    <w:p>
      <w:pPr>
        <w:spacing w:after="0" w:before="120"/>
        <w:jc w:val="center"/>
      </w:pPr>
      <w:r>
        <w:rPr>
          <w:rFonts w:ascii="DengXian" w:cs="DengXian" w:eastAsia="DengXian" w:hAnsi="DengXian"/>
          <w:b/>
          <w:bCs/>
          <w:color w:val="1F2937"/>
          <w:sz w:val="40"/>
          <w:szCs w:val="40"/>
        </w:rPr>
        <w:t xml:space="preserve">功 能 清 单</w:t>
      </w:r>
    </w:p>
    <w:p>
      <w:pPr>
        <w:pBdr>
          <w:bottom w:val="single" w:color="1E5C8A" w:sz="10" w:space="12"/>
        </w:pBdr>
        <w:spacing w:after="0" w:before="240"/>
        <w:jc w:val="center"/>
      </w:pPr>
      <w:r>
        <w:rPr>
          <w:rFonts w:ascii="DengXian" w:cs="DengXian" w:eastAsia="DengXian" w:hAnsi="DengXian"/>
          <w:color w:val="B9C7D4"/>
          <w:sz w:val="22"/>
          <w:szCs w:val="22"/>
        </w:rPr>
        <w:t xml:space="preserve">Function List</w:t>
      </w:r>
    </w:p>
    <w:p>
      <w:pPr>
        <w:spacing w:after="0" w:before="420"/>
        <w:jc w:val="center"/>
      </w:pPr>
      <w:r>
        <w:rPr>
          <w:rFonts w:ascii="DengXian" w:cs="DengXian" w:eastAsia="DengXian" w:hAnsi="DengXian"/>
          <w:color w:val="1F2937"/>
          <w:sz w:val="24"/>
          <w:szCs w:val="24"/>
        </w:rPr>
        <w:t xml:space="preserve">版本 V1.7　|　2026-06-28</w:t>
      </w:r>
    </w:p>
    <w:p>
      <w:pPr>
        <w:spacing w:after="0" w:before="80"/>
        <w:jc w:val="center"/>
      </w:pPr>
      <w:r>
        <w:rPr>
          <w:rFonts w:ascii="DengXian" w:cs="DengXian" w:eastAsia="DengXian" w:hAnsi="DengXian"/>
          <w:color w:val="6B7785"/>
          <w:sz w:val="20"/>
          <w:szCs w:val="20"/>
        </w:rPr>
        <w:t xml:space="preserve">需求评审稿　·　待客户确认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1. 文档目的与范围</w:t>
      </w:r>
    </w:p>
    <w:p>
      <w:pPr>
        <w:spacing w:after="8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本清单在已确认的架构决策基础上,列出系统第一阶段(及后续)的功能范围,作为客户评审与开发依据。客户的首要诉求为“查得快、查得准、记得快、记得准”,功能优先级据此排定。</w:t>
      </w:r>
    </w:p>
    <w:p>
      <w:pPr>
        <w:spacing w:after="80" w:before="0" w:line="264"/>
      </w:pPr>
      <w:r>
        <w:rPr>
          <w:rFonts w:ascii="DengXian" w:cs="DengXian" w:eastAsia="DengXian" w:hAnsi="DengXian"/>
          <w:b/>
          <w:bCs/>
          <w:i w:val="false"/>
          <w:iCs w:val="false"/>
          <w:color w:val="1F2937"/>
          <w:sz w:val="20"/>
          <w:szCs w:val="20"/>
        </w:rPr>
        <w:t xml:space="preserve">优先级说明:　</w:t>
      </w:r>
      <w:r>
        <w:rPr>
          <w:rFonts w:ascii="DengXian" w:cs="DengXian" w:eastAsia="DengXian" w:hAnsi="DengXian"/>
          <w:b/>
          <w:bCs/>
          <w:i w:val="false"/>
          <w:iCs w:val="false"/>
          <w:color w:val="B23A1F"/>
          <w:sz w:val="20"/>
          <w:szCs w:val="20"/>
        </w:rPr>
        <w:t xml:space="preserve">P0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第一阶段核心,必须交付;　</w:t>
      </w:r>
      <w:r>
        <w:rPr>
          <w:rFonts w:ascii="DengXian" w:cs="DengXian" w:eastAsia="DengXian" w:hAnsi="DengXian"/>
          <w:b/>
          <w:bCs/>
          <w:i w:val="false"/>
          <w:iCs w:val="false"/>
          <w:color w:val="B8860B"/>
          <w:sz w:val="20"/>
          <w:szCs w:val="20"/>
        </w:rPr>
        <w:t xml:space="preserve">P1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重要,紧随其后;　</w:t>
      </w:r>
      <w:r>
        <w:rPr>
          <w:rFonts w:ascii="DengXian" w:cs="DengXian" w:eastAsia="DengXian" w:hAnsi="DengXian"/>
          <w:b/>
          <w:bCs/>
          <w:i w:val="false"/>
          <w:iCs w:val="false"/>
          <w:color w:val="4A7A3E"/>
          <w:sz w:val="20"/>
          <w:szCs w:val="20"/>
        </w:rPr>
        <w:t xml:space="preserve">P2 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后续阶段 / 增强。</w:t>
      </w:r>
    </w:p>
    <w:p>
      <w:pPr>
        <w:spacing w:after="80" w:before="0" w:line="264"/>
      </w:pPr>
      <w:r>
        <w:rPr>
          <w:rFonts w:ascii="DengXian" w:cs="DengXian" w:eastAsia="DengXian" w:hAnsi="DengXian"/>
          <w:b/>
          <w:bCs/>
          <w:i w:val="false"/>
          <w:iCs w:val="false"/>
          <w:color w:val="1F2937"/>
          <w:sz w:val="20"/>
          <w:szCs w:val="20"/>
        </w:rPr>
        <w:t xml:space="preserve">权限列简写:　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全=三角色均可　·　全看=三角色均可查看　·　管+=管理员及以上　·　管+看=管理员及以上可查看　·　老板=仅老板　·　系统=系统自动 / 后台。具体以第 5 节权限矩阵为准。</w:t>
      </w:r>
    </w:p>
    <w:p>
      <w:pPr>
        <w:pStyle w:val="Heading1"/>
        <w:spacing w:after="140" w:before="280"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2. 角色定义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/>
          <w:bCs/>
          <w:i w:val="false"/>
          <w:iCs w:val="false"/>
          <w:color w:val="1F2937"/>
          <w:sz w:val="20"/>
          <w:szCs w:val="20"/>
        </w:rPr>
        <w:t xml:space="preserve">操作员　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本仓库的增删改查:入库、出库、库存调整、查询、加别名等日常操作。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/>
          <w:bCs/>
          <w:i w:val="false"/>
          <w:iCs w:val="false"/>
          <w:color w:val="1F2937"/>
          <w:sz w:val="20"/>
          <w:szCs w:val="20"/>
        </w:rPr>
        <w:t xml:space="preserve">管理员　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跨仓库操作 + 配方(BOM)+ 主数据:新增产品、改产品编码、改 BOM、查看价格等。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/>
          <w:bCs/>
          <w:i w:val="false"/>
          <w:iCs w:val="false"/>
          <w:color w:val="1F2937"/>
          <w:sz w:val="20"/>
          <w:szCs w:val="20"/>
        </w:rPr>
        <w:t xml:space="preserve">老板　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报表与价格:在管理员之外,额外拥有“修改价格”权限(财务口径由老板掌控)。</w:t>
      </w:r>
    </w:p>
    <w:p>
      <w:pPr>
        <w:pStyle w:val="Heading1"/>
        <w:spacing w:after="140" w:before="280"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3. 功能清单</w:t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　产品主数据管理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产品建档 / 增删改查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成品·半成品·原材料·配件统一建档;停用走软删,永不物理删除(被流水引用)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唯一内部 ID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RM/SF/FG/配件四类独立编号(如 FG-7L0199131F、SF-0045、RM-0123),终身不变;编码维护即“产品 ID 维护”,仅管理员及以上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产品类型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成品/半成品/原材料/配件四类(取代原“标签”概念)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产品属性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是否带管子/带铝板/带防尘罩等结构属性,可纳入筛选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M1-5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人工别名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每个产品最多 10 个别名,任何人可绑定;允许多产品共用同一别名(如“带管子”)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M1-6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BOM 路径别名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由 BOM 自动生成(见 M2-3),供搜索使用;一个产品可有多条路径别名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M1-7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备注与图片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文字备注 + 最多 3 张产品图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M2　BOM / 配方管理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M2-1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多层 BOM 维护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原材料→半成品→成品,可含外协层;RM-SF 多对多、SF-FG 多对一;无替代料、无机密权限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M2-2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配方查看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全角色可看;配方版本几乎固定,暂不做版本化(后续)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M2-3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路径别名自动生成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父项第 i 个子项→“父-i”,逐层展开成 A-1、A-1-1 等;同一物料挂在多个父项/多套成品下即生成多条别名(如 E=A-1-1=A2-1-1=B-1)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M2-4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别名冻结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生成后写入表中固定,不随意变动;仅当人工增删改 BOM 时重算。子项顺序(决定 -1/-2)由管理员/老板设定,BOM 不变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M3　库存管理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M3-1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当前库存快照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按 产品 × 库位 × 质量态 汇总的读模型,查询走快照而非实时累加流水;原材料批次追溯走流水/批次表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M3-2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数量桶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总库存 / 可用 / 冻结;可用 = 在库 − 预留,冻结来自预留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M3-3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质量态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良品 / 不良 / 不可用,挂在库存而非产品上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M3-4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跨仓查询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库存可跨三个仓库统一查询;产品主数据全局共享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M3-5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库存恒等式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当前库存 = 初始 + 入库 − 出库 + 移库 + 调整 + 冲正(按 产品×库位 成立;移库对产品总量为零和)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M4　出入库操作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M4-1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入库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原材料/配件/半成品/成品/退货/损耗入库,记录入库日期;采购订单到货自动联动生成入库;原材料入库记录进货批次(半成品/成品不记批次)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M4-2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出库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成品 / 半成品 / 配件 / 损耗出库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M4-3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移库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库位间转移(含合并到其他库位),客户手动控制;不改变产品总量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M4-4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流水+快照原子写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每次出入库在同一事务内写流水并更新快照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M5　库存流水与操作日志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M5-1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库存流水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只增不删,只能作废;记录每笔库存为何变化(数量级真相来源)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M5-2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冲正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以“引用原流水的反向条目”修正,不改原记录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M5-3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库存调整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允许人工调整,但必须生成流水;含数量、原因(盘点差异/人工修正)、操作人、时间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M5-4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操作日志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记录所有动作(改 BOM、改库位状态、登录等)、时间、操作人;与库存流水分表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M6　库存预留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M6-1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预留登记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预留表(订单ID、产品ID、库位ID、数量);库位人工指定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M6-2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预留状态流转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进入“已预留”→对应数量由可用挪到冻结;出库→冻结减、总库存减;取消→冻结挪回可用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M6-3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占用冲突提示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已被订单占用的库存提示冲突,不能直接扣减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M7　仓库与库位管理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M7-1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多仓维护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三个仓库(可增);每仓规则可不同(三层楼/模具库/外协库)。结构性维护仅管理员及以上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M7-2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库位结构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排/列/层/前中后(abc),编码 W1-R03-C12-L2-A;仓/排/列/层/筐数全部可配置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M7-3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模板复制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用模板批量生成基础格子,再人工标例外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M7-4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库位为一等实体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可标记 占用/不可用/合并;例:不可用-原因“消防栓”;三列放两筐用 slot 特殊标记(左右)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M7-5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一库位多产品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一库位/一筐可放多个产品,用 产品×库位×数量 表达(不单独建“筐”实体);随出入库变动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M7-6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外协库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外协视为内置仓库,无货架/无需库位,知道“在外协”即可;同一半成品不会同时在多个外协处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M7-7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伪 3D 货架图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前端货架可视化(后续阶段)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E4ED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M8　订单管理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M8-1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采购订单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采购原材料;到货自动联动生成入库流水(订单→入库)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M8-2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生产订单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客户所需订单;驱动配料/生产,产出成品即结束,不含发货出库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M8-3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表头 + 明细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表头(订单号、客户/供应商、交期、状态)+ 明细行(产品、数量、已预留、已产出)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M8-4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行级状态机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采购单:待处理/部分到货/已入库/已完成/已取消;生产单:待处理/部分缺料/已配料/生产中/已产出/已取消(出库给客户不在订单内)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M8-5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批量录入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支持一批订单导入录入(详见待确认)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M9　规则引擎 / 物料推衍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M9-1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单订单展开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输入单个订单→沿 BOM 往下展开,显示还差几个原料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M9-2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不计他单占用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推衍时不扣除其他订单已占用部分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M9-3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正向产能试算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选原材料→点击计算可做多少半成品/成品(点击触发,非实时渲染)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M10　查询与搜索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M10-1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模糊查询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PostgreSQL pg_trgm 模糊匹配:按名称/别名/备注/产品搜索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M10-2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多维流水查询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按操作人 / 时间 / 产品查;某产品历史流水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M10-3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位置互查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某产品在哪些货架 / 某货架上有哪些产品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M10-4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最近使用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最近填写的产品 ID、最近订单的产品 ID(按操作人区分)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M11　盘点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M11-1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实盘录入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录入实盘数量,系统算差异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M11-2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差异审核生成调整单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差异审核→自动生成调整单→更新库存(走流水)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M11-3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盘点提醒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月度提醒,可手动调整频率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M12　报表与提醒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M12-1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导出 Excel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库存/流水/报表导出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M12-2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低库存提醒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产品总库存低于安全库存阈值即提醒(按全局总量,不分仓);阈值挂在产品上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M12-3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日/周/月报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进度汇总、提醒事项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M12-4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呆滞库存 / 库位利用率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呆滞统计、利用率统计(后续增强)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E4ED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M12-5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邮件 / 企微通知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报表与提醒推送(后续)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E4ED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全看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M13　导入 / 导出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M13-1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初始库存导入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Excel 导入工具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M13-2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主数据批量导入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产品 / 库位 / BOM 批量导入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M13-3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报表导出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见 M12-1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DF3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全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M14　价格管理(后续)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M14-1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查看价格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原材料价格(入货/加工/损耗/出货口径)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E4ED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管+看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M14-2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修改价格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仅老板可改(见权限矩阵)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E4EDE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老板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M15　权限与用户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M15-1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三角色模型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操作员(本仓增删改查)、管理员(跨仓+配方+主数据)、老板(报表+价格)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M15-2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权限矩阵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详见第 5 节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管+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M16　系统与并发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340"/>
        <w:gridCol w:w="4640"/>
        <w:gridCol w:w="760"/>
        <w:gridCol w:w="800"/>
      </w:tblGrid>
      <w:tr>
        <w:trPr>
          <w:tblHeader/>
        </w:trP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优先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M16-1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乐观锁并发控制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十人内并发;可变表加版本号,同时修改时提示“刷新后重试”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  <w:tr>
        <w:tc>
          <w:tcPr>
            <w:tcW w:type="dxa" w:w="82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M16-2</w:t>
            </w:r>
          </w:p>
        </w:tc>
        <w:tc>
          <w:tcPr>
            <w:tcW w:type="dxa" w:w="23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库存不足拦截</w:t>
            </w:r>
          </w:p>
        </w:tc>
        <w:tc>
          <w:tcPr>
            <w:tcW w:type="dxa" w:w="464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禁止出库,或需管理员确认</w:t>
            </w:r>
          </w:p>
        </w:tc>
        <w:tc>
          <w:tcPr>
            <w:tcW w:type="dxa" w:w="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CE3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系统</w:t>
            </w:r>
          </w:p>
        </w:tc>
      </w:tr>
    </w:tbl>
    <w:p>
      <w:pPr>
        <w:spacing w:after="4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/>
      </w:r>
    </w:p>
    <w:p>
      <w:pPr>
        <w:pStyle w:val="Heading1"/>
        <w:pageBreakBefore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4. 关键设计决策摘要</w:t>
      </w:r>
    </w:p>
    <w:p>
      <w:pPr>
        <w:spacing w:after="8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以下为已与客户协调确认的核心决策,后续开发以此为准。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平台与部署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响应式网页 + 云部署;手机浏览器加桌面图标即用,不做独立 App / 小程序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数据分层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产品主数据(是什么)/ 当前库存快照(哪里有多少)/ 库存流水(为何变)三层分离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唯一 ID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RM / SF / FG / 配件 四类独立编号,终身不变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路径别名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由 BOM 自动生成(A-1-1 式),冻结入表供搜索;一物可多别名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BOM 顺序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BOM 不变;子项顺序(决定 -1/-2 别名)由管理员/老板设定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流水模型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只增不删,作废 + 冲正(反向条目);为库存数量真相来源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库位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一等实体,可标 占用/不可用/合并;模板生成 + 人工标例外;结构仅管理员/老板可改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外协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视为内置仓库,无货架;同一半成品不会同时在多个外协处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预留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库位由人工指定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搜索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PostgreSQL pg_trgm 模糊查;最近使用按操作人区分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低库存口径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按产品总库存判断,与分仓数量无关;阈值挂在产品上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采购收货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采购订单到货自动联动生成入库流水(订单→入库)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批次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仅原材料记录进货(入库)批次用于追溯;半成品/成品不记批次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容器/筐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不单独建“筐”实体;一库位可放多产品,用 产品×库位×数量 表达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订单类型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采购订单(采购原材料)+ 生产订单(客户所需);生产订单产出成品即结束,不含出库发货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产品分类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仅“产品类型”(取消原“标签”概念)</w:t>
            </w:r>
          </w:p>
        </w:tc>
      </w:tr>
      <w:tr>
        <w:tc>
          <w:tcPr>
            <w:tcW w:type="dxa" w:w="22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并发</w:t>
            </w:r>
          </w:p>
        </w:tc>
        <w:tc>
          <w:tcPr>
            <w:tcW w:type="dxa" w:w="71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十人内,乐观锁(版本号 + 冲突提示)</w:t>
            </w:r>
          </w:p>
        </w:tc>
      </w:tr>
    </w:tbl>
    <w:p>
      <w:pPr>
        <w:pStyle w:val="Heading1"/>
        <w:spacing w:after="140" w:before="280"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5. 权限矩阵</w:t>
      </w:r>
    </w:p>
    <w:p>
      <w:pPr>
        <w:spacing w:after="8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以下矩阵以客户提供的权限设计为准。其中“修改价格”仅老板可执行(高亮行)。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操作员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老板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查看库存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新增产品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修改产品编码 / 产品 ID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新增别名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入库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出库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库存调整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删除流水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查看 BOM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修改 BOM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查看价格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FF1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修改价格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FF1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FF1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FF1A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导出 Excel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  <w:tr>
        <w:tc>
          <w:tcPr>
            <w:tcW w:type="dxa" w:w="33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自定义仓库 / 货架结构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9A3327"/>
                <w:sz w:val="19"/>
                <w:szCs w:val="19"/>
              </w:rPr>
              <w:t xml:space="preserve">不可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  <w:tc>
          <w:tcPr>
            <w:tcW w:type="dxa" w:w="20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B6B3A"/>
                <w:sz w:val="19"/>
                <w:szCs w:val="19"/>
              </w:rPr>
              <w:t xml:space="preserve">可以</w:t>
            </w:r>
          </w:p>
        </w:tc>
      </w:tr>
    </w:tbl>
    <w:p>
      <w:pPr>
        <w:pStyle w:val="Heading1"/>
        <w:spacing w:after="140" w:before="280"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6. 本期范围与延后项</w:t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本期(P0 + P1)聚焦</w:t>
      </w:r>
    </w:p>
    <w:p>
      <w:pPr>
        <w:spacing w:after="8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围绕“查得快查得准、记得快记得准”:产品主数据与唯一 ID、BOM 与路径别名、库存快照与出入库、流水与操作日志、仓库库位、查询搜索、权限与并发(P0);预留、订单(采购+生产)、物料推衍、盘点、导入与基础报表/低库存提醒(P1)。</w:t>
      </w:r>
    </w:p>
    <w:p>
      <w:pPr>
        <w:pStyle w:val="Heading2"/>
        <w:spacing w:after="100" w:before="200"/>
      </w:pPr>
      <w:r>
        <w:rPr>
          <w:rFonts w:ascii="DengXian" w:cs="DengXian" w:eastAsia="DengXian" w:hAnsi="DengXian"/>
          <w:b/>
          <w:bCs/>
          <w:color w:val="1F2937"/>
          <w:sz w:val="24"/>
          <w:szCs w:val="24"/>
        </w:rPr>
        <w:t xml:space="preserve">延后项(P2 / 后续阶段)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伪 3D 货架可视化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BOM 配方版本化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价格管理(查看/修改框架已留)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呆滞库存 / 库位利用率统计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邮件 / 企微通知推送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ERP 集成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高级报表</w:t>
      </w:r>
    </w:p>
    <w:p>
      <w:pPr>
        <w:spacing w:after="80" w:before="60" w:line="264"/>
      </w:pPr>
      <w:r>
        <w:rPr>
          <w:rFonts w:ascii="DengXian" w:cs="DengXian" w:eastAsia="DengXian" w:hAnsi="DengXian"/>
          <w:b/>
          <w:bCs/>
          <w:i w:val="false"/>
          <w:iCs w:val="false"/>
          <w:color w:val="1F2937"/>
          <w:sz w:val="20"/>
          <w:szCs w:val="20"/>
        </w:rPr>
        <w:t xml:space="preserve">说明:　</w:t>
      </w: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延后非删除,而是为保证第一阶段聚焦可交付而有意推后,后续阶段回头处理。</w:t>
      </w:r>
    </w:p>
    <w:p>
      <w:pPr>
        <w:pStyle w:val="Heading1"/>
        <w:spacing w:after="140" w:before="280"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7. 需求确认状态</w:t>
      </w:r>
    </w:p>
    <w:p>
      <w:pPr>
        <w:spacing w:after="8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先前列出的待确认事项已全部闭环,结论如下。后续如有新增需求,另起附录处理。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议题</w:t>
            </w:r>
          </w:p>
        </w:tc>
        <w:tc>
          <w:tcPr>
            <w:tcW w:type="dxa" w:w="6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1E5C8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结论</w:t>
            </w:r>
          </w:p>
        </w:tc>
      </w:tr>
      <w:tr>
        <w:tc>
          <w:tcPr>
            <w:tcW w:type="dxa" w:w="26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1. 采购订单收货</w:t>
            </w:r>
          </w:p>
        </w:tc>
        <w:tc>
          <w:tcPr>
            <w:tcW w:type="dxa" w:w="6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已确认:到货自动联动生成入库流水(订单→入库)。</w:t>
            </w:r>
          </w:p>
        </w:tc>
      </w:tr>
      <w:tr>
        <w:tc>
          <w:tcPr>
            <w:tcW w:type="dxa" w:w="26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2. 批次口径</w:t>
            </w:r>
          </w:p>
        </w:tc>
        <w:tc>
          <w:tcPr>
            <w:tcW w:type="dxa" w:w="6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F4F8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已确认:仅原材料记录进货批次用于追溯;半成品/成品不记批次。</w:t>
            </w:r>
          </w:p>
        </w:tc>
      </w:tr>
      <w:tr>
        <w:tc>
          <w:tcPr>
            <w:tcW w:type="dxa" w:w="260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/>
                <w:bCs/>
                <w:i w:val="false"/>
                <w:iCs w:val="false"/>
                <w:color w:val="1F2937"/>
                <w:sz w:val="19"/>
                <w:szCs w:val="19"/>
              </w:rPr>
              <w:t xml:space="preserve">3. 容器 / 筐</w:t>
            </w:r>
          </w:p>
        </w:tc>
        <w:tc>
          <w:tcPr>
            <w:tcW w:type="dxa" w:w="6760"/>
            <w:tcBorders>
              <w:top w:val="single" w:color="C9D3DC" w:sz="1"/>
              <w:left w:val="single" w:color="C9D3DC" w:sz="1"/>
              <w:bottom w:val="single" w:color="C9D3DC" w:sz="1"/>
              <w:right w:val="single" w:color="C9D3D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19"/>
                <w:szCs w:val="19"/>
              </w:rPr>
              <w:t xml:space="preserve">已确认:不单独建“筐”实体;一库位放多产品用 产品×库位×数量 表达。</w:t>
            </w:r>
          </w:p>
        </w:tc>
      </w:tr>
    </w:tbl>
    <w:p>
      <w:pPr>
        <w:pStyle w:val="Heading1"/>
        <w:pageBreakBefore/>
      </w:pPr>
      <w:r>
        <w:rPr>
          <w:rFonts w:ascii="DengXian" w:cs="DengXian" w:eastAsia="DengXian" w:hAnsi="DengXian"/>
          <w:b/>
          <w:bCs/>
          <w:color w:val="1E5C8A"/>
          <w:sz w:val="30"/>
          <w:szCs w:val="30"/>
        </w:rPr>
        <w:t xml:space="preserve">8. 评审签字</w:t>
      </w:r>
    </w:p>
    <w:p>
      <w:pPr>
        <w:spacing w:after="400" w:before="0" w:line="264"/>
      </w:pPr>
      <w:r>
        <w:rPr>
          <w:rFonts w:ascii="DengXian" w:cs="DengXian" w:eastAsia="DengXian" w:hAnsi="DengXian"/>
          <w:b w:val="false"/>
          <w:bCs w:val="false"/>
          <w:i w:val="false"/>
          <w:iCs w:val="false"/>
          <w:color w:val="1F2937"/>
          <w:sz w:val="20"/>
          <w:szCs w:val="20"/>
        </w:rPr>
        <w:t xml:space="preserve">双方确认本功能清单 V1.7 的范围与优先级,待确认事项已全部闭环,以此作为后续开发依据。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right w:type="dxa" w:w="240"/>
            </w:tcMar>
          </w:tcPr>
          <w:p>
            <w:pPr>
              <w:pBdr>
                <w:bottom w:val="single" w:color="1F2937" w:sz="6" w:space="6"/>
              </w:pBdr>
              <w:spacing w:after="0" w:before="3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55606B"/>
                <w:sz w:val="19"/>
                <w:szCs w:val="19"/>
              </w:rPr>
              <w:t xml:space="preserve">客户方　签字 / 日期</w:t>
            </w:r>
          </w:p>
          <w:p>
            <w:pPr>
              <w:pBdr>
                <w:bottom w:val="single" w:color="1F2937" w:sz="6" w:space="6"/>
              </w:pBdr>
              <w:spacing w:after="0" w:before="3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55606B"/>
                <w:sz w:val="19"/>
                <w:szCs w:val="19"/>
              </w:rPr>
              <w:t xml:space="preserve">　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left w:type="dxa" w:w="240"/>
            </w:tcMar>
          </w:tcPr>
          <w:p>
            <w:pPr>
              <w:pBdr>
                <w:bottom w:val="single" w:color="1F2937" w:sz="6" w:space="6"/>
              </w:pBdr>
              <w:spacing w:after="0" w:before="3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55606B"/>
                <w:sz w:val="19"/>
                <w:szCs w:val="19"/>
              </w:rPr>
              <w:t xml:space="preserve">开发方　签字 / 日期</w:t>
            </w:r>
          </w:p>
          <w:p>
            <w:pPr>
              <w:pBdr>
                <w:bottom w:val="single" w:color="1F2937" w:sz="6" w:space="6"/>
              </w:pBdr>
              <w:spacing w:after="0" w:before="3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DengXian" w:cs="DengXian" w:eastAsia="DengXian" w:hAnsi="DengXian"/>
                <w:b w:val="false"/>
                <w:bCs w:val="false"/>
                <w:i w:val="false"/>
                <w:iCs w:val="false"/>
                <w:color w:val="55606B"/>
                <w:sz w:val="19"/>
                <w:szCs w:val="19"/>
              </w:rPr>
              <w:t xml:space="preserve">　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20" w:right="1320" w:bottom="132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DengXian" w:cs="DengXian" w:eastAsia="DengXian" w:hAnsi="DengXian"/>
        <w:color w:val="8A95A1"/>
        <w:sz w:val="16"/>
        <w:szCs w:val="16"/>
      </w:rPr>
      <w:t xml:space="preserve">第 </w:t>
    </w:r>
    <w:r>
      <w:rPr>
        <w:rFonts w:ascii="DengXian" w:cs="DengXian" w:eastAsia="DengXian" w:hAnsi="DengXian"/>
        <w:color w:val="8A95A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DengXian" w:cs="DengXian" w:eastAsia="DengXian" w:hAnsi="DengXian"/>
        <w:color w:val="8A95A1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7D4" w:sz="4" w:space="6"/>
      </w:pBdr>
      <w:spacing w:after="0"/>
      <w:jc w:val="right"/>
    </w:pPr>
    <w:r>
      <w:rPr>
        <w:rFonts w:ascii="DengXian" w:cs="DengXian" w:eastAsia="DengXian" w:hAnsi="DengXian"/>
        <w:color w:val="8A95A1"/>
        <w:sz w:val="16"/>
        <w:szCs w:val="16"/>
      </w:rPr>
      <w:t xml:space="preserve">WMS 功能清单　V1.7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color w:val="1F29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DengXian" w:cs="DengXian" w:eastAsia="DengXian" w:hAnsi="DengXian"/>
      <w:b/>
      <w:bCs/>
      <w:color w:val="1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DengXian" w:cs="DengXian" w:eastAsia="DengXian" w:hAnsi="DengXian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2026-06-27T20:33:45.561Z</dcterms:created>
  <dcterms:modified xsi:type="dcterms:W3CDTF">2026-06-27T20:33:45.561Z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