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E5940" w14:textId="6438E816" w:rsidR="00485F9D" w:rsidRDefault="00590A9E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0A9E">
        <w:rPr>
          <w:rFonts w:ascii="Arial" w:hAnsi="Arial" w:cs="Arial"/>
          <w:sz w:val="24"/>
          <w:szCs w:val="24"/>
        </w:rPr>
        <w:t xml:space="preserve">A </w:t>
      </w:r>
      <w:r w:rsidRPr="008046BF">
        <w:rPr>
          <w:rFonts w:ascii="Arial" w:hAnsi="Arial" w:cs="Arial"/>
          <w:b/>
          <w:bCs/>
          <w:sz w:val="24"/>
          <w:szCs w:val="24"/>
        </w:rPr>
        <w:t>digital twin for a National Planning Authority (NPA)</w:t>
      </w:r>
      <w:r w:rsidRPr="00590A9E">
        <w:rPr>
          <w:rFonts w:ascii="Arial" w:hAnsi="Arial" w:cs="Arial"/>
          <w:sz w:val="24"/>
          <w:szCs w:val="24"/>
        </w:rPr>
        <w:t xml:space="preserve"> is a dynamic, virtual replica of an entire country or key national systems. It integrates real-time and historical data from sensors, satellites, IoT devices, geospatial information systems (GIS), economic indicators, environmental metrics, infrastructure networks, population dynamics, and more. This creates a living simulation environment for testing policies, infrastructure projects, land-use scenarios, and long-term development plans before real-world implementation.</w:t>
      </w:r>
    </w:p>
    <w:p w14:paraId="4DAEA32C" w14:textId="77777777" w:rsidR="00590A9E" w:rsidRPr="008046BF" w:rsidRDefault="00590A9E" w:rsidP="008046B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046BF">
        <w:rPr>
          <w:rFonts w:ascii="Arial" w:hAnsi="Arial" w:cs="Arial"/>
          <w:b/>
          <w:bCs/>
          <w:sz w:val="24"/>
          <w:szCs w:val="24"/>
        </w:rPr>
        <w:t>Core Concept and Components</w:t>
      </w:r>
    </w:p>
    <w:p w14:paraId="3FB6A5D4" w14:textId="77777777" w:rsidR="00590A9E" w:rsidRPr="00590A9E" w:rsidRDefault="00590A9E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0A9E">
        <w:rPr>
          <w:rFonts w:ascii="Arial" w:hAnsi="Arial" w:cs="Arial"/>
          <w:sz w:val="24"/>
          <w:szCs w:val="24"/>
        </w:rPr>
        <w:t>A national-scale digital twin goes beyond static 3D city models. It combines:</w:t>
      </w:r>
    </w:p>
    <w:p w14:paraId="627C1D9E" w14:textId="77777777" w:rsidR="00590A9E" w:rsidRDefault="00590A9E" w:rsidP="008046B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0A9E">
        <w:rPr>
          <w:rFonts w:ascii="Arial" w:hAnsi="Arial" w:cs="Arial"/>
          <w:sz w:val="24"/>
          <w:szCs w:val="24"/>
        </w:rPr>
        <w:t>Static elements: High-resolution 3D representations of terrain, buildings, roads, utilities, forests, and land use.</w:t>
      </w:r>
    </w:p>
    <w:p w14:paraId="12B84B6C" w14:textId="77777777" w:rsidR="00590A9E" w:rsidRDefault="00590A9E" w:rsidP="008046B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0A9E">
        <w:rPr>
          <w:rFonts w:ascii="Arial" w:hAnsi="Arial" w:cs="Arial"/>
          <w:sz w:val="24"/>
          <w:szCs w:val="24"/>
        </w:rPr>
        <w:t>Dynamic elements: Real-time data feeds (e.g., traffic, weather, energy consumption, economic activity) plus predictive modeling using AI, machine learning, and simulation algorithms.</w:t>
      </w:r>
    </w:p>
    <w:p w14:paraId="651F6133" w14:textId="7494FCEF" w:rsidR="00590A9E" w:rsidRPr="00590A9E" w:rsidRDefault="00590A9E" w:rsidP="008046B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0A9E">
        <w:rPr>
          <w:rFonts w:ascii="Arial" w:hAnsi="Arial" w:cs="Arial"/>
          <w:sz w:val="24"/>
          <w:szCs w:val="24"/>
        </w:rPr>
        <w:t>What-if scenario testing: Simulate outcomes of new highways, urban expansion, climate adaptation strategies, or policy changes on traffic, emissions, jobs, or flood risk.</w:t>
      </w:r>
    </w:p>
    <w:p w14:paraId="762C91F2" w14:textId="4332259B" w:rsidR="00590A9E" w:rsidRDefault="00590A9E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90A9E">
        <w:rPr>
          <w:rFonts w:ascii="Arial" w:hAnsi="Arial" w:cs="Arial"/>
          <w:sz w:val="24"/>
          <w:szCs w:val="24"/>
        </w:rPr>
        <w:t>This enables evidence-based, data-driven national planning with reduced risk, faster decision-making, and better resource allocation.</w:t>
      </w:r>
    </w:p>
    <w:p w14:paraId="5B601325" w14:textId="77777777" w:rsidR="00590A9E" w:rsidRPr="008046BF" w:rsidRDefault="00590A9E" w:rsidP="008046B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046BF">
        <w:rPr>
          <w:rFonts w:ascii="Arial" w:hAnsi="Arial" w:cs="Arial"/>
          <w:b/>
          <w:bCs/>
          <w:sz w:val="24"/>
          <w:szCs w:val="24"/>
        </w:rPr>
        <w:t>Key Benefits for National Planning</w:t>
      </w:r>
    </w:p>
    <w:p w14:paraId="6DC729C3" w14:textId="0B496E2B" w:rsidR="008046BF" w:rsidRDefault="00590A9E" w:rsidP="008046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Scenario Simulation and Risk Assessment </w:t>
      </w:r>
      <w:r w:rsidR="008046BF"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Test infrastructure projects (e.g., rail corridors or energy grids) virtually to predict impacts on economy, environment, and society.</w:t>
      </w:r>
    </w:p>
    <w:p w14:paraId="739F228C" w14:textId="06D794B1" w:rsidR="008046BF" w:rsidRDefault="00590A9E" w:rsidP="008046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Integrated Cross-Sector Planning</w:t>
      </w:r>
      <w:r w:rsidR="008046BF">
        <w:rPr>
          <w:rFonts w:ascii="Arial" w:hAnsi="Arial" w:cs="Arial"/>
          <w:sz w:val="24"/>
          <w:szCs w:val="24"/>
          <w:lang w:val="en-US"/>
        </w:rPr>
        <w:t xml:space="preserve"> - </w:t>
      </w:r>
      <w:r w:rsidRPr="008046BF">
        <w:rPr>
          <w:rFonts w:ascii="Arial" w:hAnsi="Arial" w:cs="Arial"/>
          <w:sz w:val="24"/>
          <w:szCs w:val="24"/>
        </w:rPr>
        <w:t>Link transportation, agriculture, water resources, urban development, and disaster management in one platform.</w:t>
      </w:r>
    </w:p>
    <w:p w14:paraId="48BDA8A2" w14:textId="77777777" w:rsidR="008046BF" w:rsidRDefault="00590A9E" w:rsidP="008046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Real-Time Monitoring and Predictive Analytics </w:t>
      </w:r>
      <w:r w:rsidR="008046BF" w:rsidRPr="008046BF">
        <w:rPr>
          <w:rFonts w:ascii="Arial" w:hAnsi="Arial" w:cs="Arial"/>
          <w:sz w:val="24"/>
          <w:szCs w:val="24"/>
          <w:lang w:val="en-US"/>
        </w:rPr>
        <w:t xml:space="preserve">- </w:t>
      </w:r>
      <w:r w:rsidRPr="008046BF">
        <w:rPr>
          <w:rFonts w:ascii="Arial" w:hAnsi="Arial" w:cs="Arial"/>
          <w:sz w:val="24"/>
          <w:szCs w:val="24"/>
        </w:rPr>
        <w:t>Detect issues early (e.g., infrastructure stress, environmental degradation) and optimize resource use.</w:t>
      </w:r>
    </w:p>
    <w:p w14:paraId="6BB54FFC" w14:textId="77777777" w:rsidR="008046BF" w:rsidRDefault="00590A9E" w:rsidP="008046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Stakeholder Collaboration and Public Engagement </w:t>
      </w:r>
      <w:r w:rsidR="008046BF"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Share visualizations with ministries, local governments, investors, and citizens for transparent planning.</w:t>
      </w:r>
    </w:p>
    <w:p w14:paraId="3CF6171F" w14:textId="77777777" w:rsidR="008046BF" w:rsidRDefault="00590A9E" w:rsidP="008046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Cost and Time Savings </w:t>
      </w:r>
      <w:r w:rsidR="008046BF"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Reduce physical prototyping or trial-and-error in large projects; some implementations report up to 70% faster network planning.</w:t>
      </w:r>
    </w:p>
    <w:p w14:paraId="4D005EC6" w14:textId="2F8AED10" w:rsidR="00590A9E" w:rsidRDefault="00590A9E" w:rsidP="008046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lastRenderedPageBreak/>
        <w:t>Sustainability and Resilience</w:t>
      </w:r>
      <w:r w:rsidR="008046BF">
        <w:rPr>
          <w:rFonts w:ascii="Arial" w:hAnsi="Arial" w:cs="Arial"/>
          <w:sz w:val="24"/>
          <w:szCs w:val="24"/>
          <w:lang w:val="en-US"/>
        </w:rPr>
        <w:t xml:space="preserve"> -</w:t>
      </w:r>
      <w:r w:rsidRPr="008046BF">
        <w:rPr>
          <w:rFonts w:ascii="Arial" w:hAnsi="Arial" w:cs="Arial"/>
          <w:sz w:val="24"/>
          <w:szCs w:val="24"/>
        </w:rPr>
        <w:t xml:space="preserve"> Model climate change effects, carbon emissions, or inclusive growth to align with national development goals like Uganda's Vision 2040 or NDPI</w:t>
      </w:r>
      <w:r w:rsidR="008046BF">
        <w:rPr>
          <w:rFonts w:ascii="Arial" w:hAnsi="Arial" w:cs="Arial"/>
          <w:sz w:val="24"/>
          <w:szCs w:val="24"/>
          <w:lang w:val="en-US"/>
        </w:rPr>
        <w:t>V</w:t>
      </w:r>
      <w:r w:rsidRPr="008046BF">
        <w:rPr>
          <w:rFonts w:ascii="Arial" w:hAnsi="Arial" w:cs="Arial"/>
          <w:sz w:val="24"/>
          <w:szCs w:val="24"/>
        </w:rPr>
        <w:t>.</w:t>
      </w:r>
    </w:p>
    <w:p w14:paraId="469C8E00" w14:textId="77777777" w:rsidR="008046BF" w:rsidRPr="008046BF" w:rsidRDefault="008046BF" w:rsidP="008046B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046BF">
        <w:rPr>
          <w:rFonts w:ascii="Arial" w:hAnsi="Arial" w:cs="Arial"/>
          <w:b/>
          <w:bCs/>
          <w:sz w:val="24"/>
          <w:szCs w:val="24"/>
        </w:rPr>
        <w:t>Global Examples of National or Large-Scale Digital Twins</w:t>
      </w:r>
    </w:p>
    <w:p w14:paraId="7F00650C" w14:textId="77777777" w:rsidR="008046BF" w:rsidRPr="008046BF" w:rsidRDefault="008046BF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Several countries have pioneered this approach, providing models adaptable to contexts like Uganda's:</w:t>
      </w:r>
    </w:p>
    <w:p w14:paraId="77D948B9" w14:textId="3F02B79F" w:rsidR="008046BF" w:rsidRDefault="008046BF" w:rsidP="008046B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Singapore's Virtual Singapore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Often called the world's first national digital twin. A highly detailed 3D replica of the entire country-state, fed with real-time data. Used for urban planning, traffic optimization, disaster preparedness, infrastructure management, and testing new technologies. It supports multiple government agencies and includes subsurface (underground) elements in later phases.</w:t>
      </w:r>
    </w:p>
    <w:p w14:paraId="0FDD0558" w14:textId="4DA14AE4" w:rsidR="008046BF" w:rsidRPr="008046BF" w:rsidRDefault="008046BF" w:rsidP="008046B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UK National Digital Twin Programme</w:t>
      </w:r>
      <w:r>
        <w:rPr>
          <w:rFonts w:ascii="Arial" w:hAnsi="Arial" w:cs="Arial"/>
          <w:sz w:val="24"/>
          <w:szCs w:val="24"/>
          <w:lang w:val="en-US"/>
        </w:rPr>
        <w:t xml:space="preserve"> -</w:t>
      </w:r>
      <w:r w:rsidRPr="008046BF">
        <w:rPr>
          <w:rFonts w:ascii="Arial" w:hAnsi="Arial" w:cs="Arial"/>
          <w:sz w:val="24"/>
          <w:szCs w:val="24"/>
        </w:rPr>
        <w:t xml:space="preserve"> Focuses on connecting multiple sector-specific twins (energy, transport, built environment) into a federated system for better national infrastructure planning and decision-making.</w:t>
      </w:r>
    </w:p>
    <w:p w14:paraId="2D22CD06" w14:textId="77777777" w:rsidR="008046BF" w:rsidRPr="008046BF" w:rsidRDefault="008046BF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Other Notable Initiatives:</w:t>
      </w:r>
    </w:p>
    <w:p w14:paraId="69F67DD1" w14:textId="260C3E01" w:rsidR="008046BF" w:rsidRDefault="008046BF" w:rsidP="008046B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India's Sangam Digital Twin and China's Xiong'an New Area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Emphasize full life-cycle planning (design to operations) with BIM integration.</w:t>
      </w:r>
    </w:p>
    <w:p w14:paraId="22304E1C" w14:textId="056A4A83" w:rsidR="008046BF" w:rsidRDefault="008046BF" w:rsidP="008046B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Australia (NSW/Victoria) and Qatar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Building national or city-scale twins for predictive governance and infrastructure.</w:t>
      </w:r>
    </w:p>
    <w:p w14:paraId="20909456" w14:textId="2EC21889" w:rsidR="008046BF" w:rsidRPr="008046BF" w:rsidRDefault="008046BF" w:rsidP="008046B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Boston (USA) and various European cities (e.g., Helsinki, Rotterdam)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Use twins for zoning, shadow analysis, flood resilience, and citizen-centric planning.</w:t>
      </w:r>
    </w:p>
    <w:p w14:paraId="7FB55174" w14:textId="10A37A0B" w:rsidR="008046BF" w:rsidRPr="008046BF" w:rsidRDefault="008046BF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These show that starting with priority sectors (e.g., transport, land use, or water) and scaling up works well.</w:t>
      </w:r>
    </w:p>
    <w:p w14:paraId="1138B6F5" w14:textId="77777777" w:rsidR="008046BF" w:rsidRPr="008046BF" w:rsidRDefault="008046BF" w:rsidP="008046B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046BF">
        <w:rPr>
          <w:rFonts w:ascii="Arial" w:hAnsi="Arial" w:cs="Arial"/>
          <w:b/>
          <w:bCs/>
          <w:sz w:val="24"/>
          <w:szCs w:val="24"/>
        </w:rPr>
        <w:t>How to Implement a Digital Twin for an NPA (e.g., Uganda's National Planning Authority)</w:t>
      </w:r>
    </w:p>
    <w:p w14:paraId="47CFA10E" w14:textId="77777777" w:rsidR="008046BF" w:rsidRPr="008046BF" w:rsidRDefault="008046BF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Uganda already has strong foundations through the Digital Uganda Vision, NDPIII's Digital Transformation Programme, NITA-U infrastructure, and GIS capabilities. A national twin could build directly on these.</w:t>
      </w:r>
    </w:p>
    <w:p w14:paraId="03627DF1" w14:textId="77777777" w:rsidR="008046BF" w:rsidRPr="008046BF" w:rsidRDefault="008046BF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Step-by-Step Roadmap:</w:t>
      </w:r>
    </w:p>
    <w:p w14:paraId="74863095" w14:textId="77777777" w:rsidR="008046BF" w:rsidRPr="008046BF" w:rsidRDefault="008046BF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DCC98F" w14:textId="49511E24" w:rsidR="008046BF" w:rsidRDefault="008046BF" w:rsidP="008046B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Define Scope and Governance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Start with a pilot (e.g., Greater Kampala or key infrastructure corridors) aligned with NPA's mandate for long-term planning. Establish inter-ministerial data-sharing policies.</w:t>
      </w:r>
    </w:p>
    <w:p w14:paraId="702DAFD6" w14:textId="1136610D" w:rsidR="008046BF" w:rsidRDefault="008046BF" w:rsidP="008046B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Data Foundation</w:t>
      </w:r>
      <w:r>
        <w:rPr>
          <w:rFonts w:ascii="Arial" w:hAnsi="Arial" w:cs="Arial"/>
          <w:sz w:val="24"/>
          <w:szCs w:val="24"/>
          <w:lang w:val="en-US"/>
        </w:rPr>
        <w:t xml:space="preserve"> - </w:t>
      </w:r>
      <w:r w:rsidRPr="008046BF">
        <w:rPr>
          <w:rFonts w:ascii="Arial" w:hAnsi="Arial" w:cs="Arial"/>
          <w:sz w:val="24"/>
          <w:szCs w:val="24"/>
        </w:rPr>
        <w:t>Integrate existing sources: satellite imagery, National Backbone Infrastructure (NBI), census data, land registries, environmental sensors, and economic databases. Ensure data quality, interoperability (using standards like those from OGC or Esri), and security/privacy.</w:t>
      </w:r>
    </w:p>
    <w:p w14:paraId="1C5ADACC" w14:textId="5167EBE4" w:rsidR="008046BF" w:rsidRDefault="008046BF" w:rsidP="008046B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Technology Stack </w:t>
      </w:r>
      <w:r>
        <w:rPr>
          <w:rFonts w:ascii="Arial" w:hAnsi="Arial" w:cs="Arial"/>
          <w:sz w:val="24"/>
          <w:szCs w:val="24"/>
          <w:lang w:val="en-US"/>
        </w:rPr>
        <w:t xml:space="preserve">- </w:t>
      </w:r>
      <w:r w:rsidRPr="008046BF">
        <w:rPr>
          <w:rFonts w:ascii="Arial" w:hAnsi="Arial" w:cs="Arial"/>
          <w:sz w:val="24"/>
          <w:szCs w:val="24"/>
        </w:rPr>
        <w:t xml:space="preserve">Use GIS platforms (e.g., Esri ArcGIS), 3D modeling (Bentley Systems, as in Singapore), IoT/sensor networks, AI for predictions, and cloud/edge </w:t>
      </w:r>
      <w:bookmarkStart w:id="0" w:name="_GoBack"/>
      <w:bookmarkEnd w:id="0"/>
      <w:r w:rsidRPr="008046BF">
        <w:rPr>
          <w:rFonts w:ascii="Arial" w:hAnsi="Arial" w:cs="Arial"/>
          <w:sz w:val="24"/>
          <w:szCs w:val="24"/>
        </w:rPr>
        <w:t>computing. Open-source options can reduce costs.</w:t>
      </w:r>
    </w:p>
    <w:p w14:paraId="6C787EEB" w14:textId="6E3FA4E9" w:rsidR="008046BF" w:rsidRPr="008046BF" w:rsidRDefault="008046BF" w:rsidP="008046B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 xml:space="preserve">Build Layers </w:t>
      </w:r>
      <w:r>
        <w:rPr>
          <w:rFonts w:ascii="Arial" w:hAnsi="Arial" w:cs="Arial"/>
          <w:sz w:val="24"/>
          <w:szCs w:val="24"/>
          <w:lang w:val="en-US"/>
        </w:rPr>
        <w:t>-</w:t>
      </w:r>
      <w:r w:rsidRPr="008046BF">
        <w:rPr>
          <w:rFonts w:ascii="Arial" w:hAnsi="Arial" w:cs="Arial"/>
          <w:sz w:val="24"/>
          <w:szCs w:val="24"/>
        </w:rPr>
        <w:t xml:space="preserve"> Begin with geospatial base (terrain + buildings), add dynamic feeds (traffic, energy), then advanced simulations (economic impact, climate scenarios).</w:t>
      </w:r>
    </w:p>
    <w:p w14:paraId="65A9E346" w14:textId="648887B1" w:rsidR="008046BF" w:rsidRPr="001B09E2" w:rsidRDefault="008046BF" w:rsidP="001B09E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09E2">
        <w:rPr>
          <w:rFonts w:ascii="Arial" w:hAnsi="Arial" w:cs="Arial"/>
          <w:sz w:val="24"/>
          <w:szCs w:val="24"/>
        </w:rPr>
        <w:t xml:space="preserve">Phased Rollout </w:t>
      </w:r>
    </w:p>
    <w:p w14:paraId="4180E68C" w14:textId="77777777" w:rsidR="008046BF" w:rsidRPr="001B09E2" w:rsidRDefault="008046BF" w:rsidP="001B09E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09E2">
        <w:rPr>
          <w:rFonts w:ascii="Arial" w:hAnsi="Arial" w:cs="Arial"/>
          <w:sz w:val="24"/>
          <w:szCs w:val="24"/>
        </w:rPr>
        <w:t>Phase 1: Static 3D model + basic visualization.</w:t>
      </w:r>
    </w:p>
    <w:p w14:paraId="091954D7" w14:textId="77777777" w:rsidR="008046BF" w:rsidRPr="001B09E2" w:rsidRDefault="008046BF" w:rsidP="001B09E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09E2">
        <w:rPr>
          <w:rFonts w:ascii="Arial" w:hAnsi="Arial" w:cs="Arial"/>
          <w:sz w:val="24"/>
          <w:szCs w:val="24"/>
        </w:rPr>
        <w:t>Phase 2: Real-time monitoring.</w:t>
      </w:r>
    </w:p>
    <w:p w14:paraId="2BD876A0" w14:textId="77777777" w:rsidR="008046BF" w:rsidRPr="001B09E2" w:rsidRDefault="008046BF" w:rsidP="001B09E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09E2">
        <w:rPr>
          <w:rFonts w:ascii="Arial" w:hAnsi="Arial" w:cs="Arial"/>
          <w:sz w:val="24"/>
          <w:szCs w:val="24"/>
        </w:rPr>
        <w:t>Phase 3: Full predictive "what-if" capabilities.</w:t>
      </w:r>
    </w:p>
    <w:p w14:paraId="342B0B96" w14:textId="195859D0" w:rsidR="008046BF" w:rsidRPr="001B09E2" w:rsidRDefault="008046BF" w:rsidP="001B09E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09E2">
        <w:rPr>
          <w:rFonts w:ascii="Arial" w:hAnsi="Arial" w:cs="Arial"/>
          <w:sz w:val="24"/>
          <w:szCs w:val="24"/>
        </w:rPr>
        <w:t xml:space="preserve">Capacity Building and Partnerships </w:t>
      </w:r>
      <w:r w:rsidR="001B09E2">
        <w:rPr>
          <w:rFonts w:ascii="Arial" w:hAnsi="Arial" w:cs="Arial"/>
          <w:sz w:val="24"/>
          <w:szCs w:val="24"/>
          <w:lang w:val="en-US"/>
        </w:rPr>
        <w:t>-</w:t>
      </w:r>
      <w:r w:rsidRPr="001B09E2">
        <w:rPr>
          <w:rFonts w:ascii="Arial" w:hAnsi="Arial" w:cs="Arial"/>
          <w:sz w:val="24"/>
          <w:szCs w:val="24"/>
        </w:rPr>
        <w:t xml:space="preserve"> Train NPA staff; collaborate with NITA-U, universities (e.g., Makerere), private tech firms, and international partners (World Bank, UNCDF, or tech providers).</w:t>
      </w:r>
    </w:p>
    <w:p w14:paraId="72684491" w14:textId="2EB1F2A1" w:rsidR="008046BF" w:rsidRPr="001B09E2" w:rsidRDefault="008046BF" w:rsidP="001B09E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09E2">
        <w:rPr>
          <w:rFonts w:ascii="Arial" w:hAnsi="Arial" w:cs="Arial"/>
          <w:sz w:val="24"/>
          <w:szCs w:val="24"/>
        </w:rPr>
        <w:t xml:space="preserve">Sustainability </w:t>
      </w:r>
      <w:r w:rsidR="001B09E2">
        <w:rPr>
          <w:rFonts w:ascii="Arial" w:hAnsi="Arial" w:cs="Arial"/>
          <w:sz w:val="24"/>
          <w:szCs w:val="24"/>
          <w:lang w:val="en-US"/>
        </w:rPr>
        <w:t>-</w:t>
      </w:r>
      <w:r w:rsidRPr="001B09E2">
        <w:rPr>
          <w:rFonts w:ascii="Arial" w:hAnsi="Arial" w:cs="Arial"/>
          <w:sz w:val="24"/>
          <w:szCs w:val="24"/>
        </w:rPr>
        <w:t xml:space="preserve"> Focus on open standards, public-private partnerships, and alignment with existing strategies like the Digital Government Strategy.</w:t>
      </w:r>
    </w:p>
    <w:p w14:paraId="274B696A" w14:textId="287F3F3A" w:rsidR="00590A9E" w:rsidRDefault="008046BF" w:rsidP="00804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046BF">
        <w:rPr>
          <w:rFonts w:ascii="Arial" w:hAnsi="Arial" w:cs="Arial"/>
          <w:sz w:val="24"/>
          <w:szCs w:val="24"/>
        </w:rPr>
        <w:t>Challenges to address: Data silos, initial investment, skills gaps, and ensuring inclusivity (e.g., rural coverage).</w:t>
      </w:r>
    </w:p>
    <w:p w14:paraId="45B20A46" w14:textId="77777777" w:rsidR="001B09E2" w:rsidRPr="001B09E2" w:rsidRDefault="001B09E2" w:rsidP="001B09E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B09E2">
        <w:rPr>
          <w:rFonts w:ascii="Arial" w:hAnsi="Arial" w:cs="Arial"/>
          <w:b/>
          <w:bCs/>
          <w:sz w:val="24"/>
          <w:szCs w:val="24"/>
        </w:rPr>
        <w:t>Relevance to Uganda</w:t>
      </w:r>
    </w:p>
    <w:p w14:paraId="5A40F106" w14:textId="6E986464" w:rsidR="001B09E2" w:rsidRPr="001B09E2" w:rsidRDefault="001B09E2" w:rsidP="001B09E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B09E2">
        <w:rPr>
          <w:rFonts w:ascii="Arial" w:hAnsi="Arial" w:cs="Arial"/>
          <w:sz w:val="24"/>
          <w:szCs w:val="24"/>
        </w:rPr>
        <w:t xml:space="preserve">With rapid urbanization, infrastructure needs, and goals for digital transformation (as outlined in Vision for a Digital Uganda and Vision 2040), a national digital twin would supercharge the NPA's role in coordinating development. It could simulate Parish Development Model impacts, optimize transport/agriculture integration, enhance disaster resilience (floods, droughts), and attract investment through transparent planning tools. Countries like Singapore transformed from resource-constrained to </w:t>
      </w:r>
      <w:r w:rsidRPr="001B09E2">
        <w:rPr>
          <w:rFonts w:ascii="Arial" w:hAnsi="Arial" w:cs="Arial"/>
          <w:sz w:val="24"/>
          <w:szCs w:val="24"/>
        </w:rPr>
        <w:lastRenderedPageBreak/>
        <w:t>highly efficient planners using this approach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 w:rsidRPr="001B09E2">
        <w:rPr>
          <w:rFonts w:ascii="Arial" w:hAnsi="Arial" w:cs="Arial"/>
          <w:sz w:val="24"/>
          <w:szCs w:val="24"/>
        </w:rPr>
        <w:t>Uganda could follow a similar path scaled to its context.</w:t>
      </w:r>
    </w:p>
    <w:sectPr w:rsidR="001B09E2" w:rsidRPr="001B09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EC682F"/>
    <w:multiLevelType w:val="hybridMultilevel"/>
    <w:tmpl w:val="2FD08D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7475ED"/>
    <w:multiLevelType w:val="hybridMultilevel"/>
    <w:tmpl w:val="9270695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2926CF"/>
    <w:multiLevelType w:val="hybridMultilevel"/>
    <w:tmpl w:val="0E70222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B668F"/>
    <w:multiLevelType w:val="hybridMultilevel"/>
    <w:tmpl w:val="89DC1DA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E01C1"/>
    <w:multiLevelType w:val="hybridMultilevel"/>
    <w:tmpl w:val="0D887828"/>
    <w:lvl w:ilvl="0" w:tplc="2000001B">
      <w:start w:val="1"/>
      <w:numFmt w:val="low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CD619AC"/>
    <w:multiLevelType w:val="hybridMultilevel"/>
    <w:tmpl w:val="177A021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733710"/>
    <w:multiLevelType w:val="hybridMultilevel"/>
    <w:tmpl w:val="DAF206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9D"/>
    <w:rsid w:val="001B09E2"/>
    <w:rsid w:val="00485F9D"/>
    <w:rsid w:val="00590A9E"/>
    <w:rsid w:val="006D1D79"/>
    <w:rsid w:val="008046BF"/>
    <w:rsid w:val="009656A0"/>
    <w:rsid w:val="00B15427"/>
    <w:rsid w:val="00CF13CA"/>
    <w:rsid w:val="00F84239"/>
    <w:rsid w:val="00FB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B741"/>
  <w15:chartTrackingRefBased/>
  <w15:docId w15:val="{EC43D755-EA65-42E2-80C8-9AC66457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1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9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</dc:creator>
  <cp:keywords/>
  <dc:description/>
  <cp:lastModifiedBy>Abimereki Muzaale</cp:lastModifiedBy>
  <cp:revision>2</cp:revision>
  <dcterms:created xsi:type="dcterms:W3CDTF">2026-03-24T07:54:00Z</dcterms:created>
  <dcterms:modified xsi:type="dcterms:W3CDTF">2026-03-24T07:54:00Z</dcterms:modified>
</cp:coreProperties>
</file>