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0"/>
        <w:jc w:val="center"/>
      </w:pPr>
      <w:r>
        <w:rPr>
          <w:rFonts w:ascii="Arial" w:cs="Arial" w:eastAsia="Arial" w:hAnsi="Arial"/>
          <w:b/>
          <w:bCs/>
          <w:color w:val="1F4E79"/>
          <w:sz w:val="72"/>
          <w:szCs w:val="72"/>
        </w:rPr>
        <w:t xml:space="preserve">TRANSMAX</w:t>
      </w:r>
    </w:p>
    <w:p>
      <w:pPr>
        <w:spacing w:after="200" w:before="80"/>
        <w:jc w:val="center"/>
      </w:pPr>
      <w:r>
        <w:rPr>
          <w:rFonts w:ascii="Arial" w:cs="Arial" w:eastAsia="Arial" w:hAnsi="Arial"/>
          <w:color w:val="595959"/>
          <w:sz w:val="32"/>
          <w:szCs w:val="32"/>
        </w:rPr>
        <w:t xml:space="preserve">Pharma-Grade Agentic Translation Platform</w:t>
      </w:r>
    </w:p>
    <w:p>
      <w:pPr>
        <w:spacing w:after="200" w:before="600"/>
        <w:jc w:val="center"/>
      </w:pPr>
      <w:r>
        <w:rPr>
          <w:rFonts w:ascii="Arial" w:cs="Arial" w:eastAsia="Arial" w:hAnsi="Arial"/>
          <w:i/>
          <w:iCs/>
          <w:color w:val="595959"/>
          <w:sz w:val="28"/>
          <w:szCs w:val="28"/>
        </w:rPr>
        <w:t xml:space="preserve">Code Review, Competitive Benchmark and Enterprise Upgrade Path</w:t>
      </w:r>
    </w:p>
    <w:p>
      <w:pPr>
        <w:spacing w:before="1200"/>
        <w:jc w:val="center"/>
      </w:pPr>
      <w:r>
        <w:rPr>
          <w:rFonts w:ascii="Arial" w:cs="Arial" w:eastAsia="Arial" w:hAnsi="Arial"/>
          <w:sz w:val="24"/>
          <w:szCs w:val="24"/>
        </w:rPr>
        <w:t xml:space="preserve">Prepared for: Kapil Pant</w:t>
      </w:r>
    </w:p>
    <w:p>
      <w:pPr>
        <w:spacing w:before="80"/>
        <w:jc w:val="center"/>
      </w:pPr>
      <w:r>
        <w:rPr>
          <w:rFonts w:ascii="Arial" w:cs="Arial" w:eastAsia="Arial" w:hAnsi="Arial"/>
          <w:color w:val="595959"/>
          <w:sz w:val="22"/>
          <w:szCs w:val="22"/>
        </w:rPr>
        <w:t xml:space="preserve">Role: Product Manager — Pharma Translation Agent</w:t>
      </w:r>
    </w:p>
    <w:p>
      <w:pPr>
        <w:spacing w:before="80"/>
        <w:jc w:val="center"/>
      </w:pPr>
      <w:r>
        <w:rPr>
          <w:rFonts w:ascii="Arial" w:cs="Arial" w:eastAsia="Arial" w:hAnsi="Arial"/>
          <w:color w:val="595959"/>
          <w:sz w:val="22"/>
          <w:szCs w:val="22"/>
        </w:rPr>
        <w:t xml:space="preserve">Date: May 2026</w:t>
      </w:r>
    </w:p>
    <w:p>
      <w:pPr>
        <w:spacing w:before="80"/>
        <w:jc w:val="center"/>
      </w:pPr>
      <w:r>
        <w:rPr>
          <w:rFonts w:ascii="Arial" w:cs="Arial" w:eastAsia="Arial" w:hAnsi="Arial"/>
          <w:i/>
          <w:iCs/>
          <w:color w:val="595959"/>
          <w:sz w:val="20"/>
          <w:szCs w:val="20"/>
        </w:rPr>
        <w:t xml:space="preserve">Status: Confidential — Internal Engineering &amp; Product Review</w:t>
      </w:r>
    </w:p>
    <w:p>
      <w:r>
        <w:br w:type="page"/>
      </w:r>
    </w:p>
    <w:p>
      <w:pPr>
        <w:spacing w:after="200"/>
      </w:pPr>
      <w:r>
        <w:rPr>
          <w:rFonts w:ascii="Arial" w:cs="Arial" w:eastAsia="Arial" w:hAnsi="Arial"/>
          <w:b/>
          <w:bCs/>
          <w:color w:val="1F4E79"/>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240"/>
      </w:pPr>
      <w:r>
        <w:rPr>
          <w:rFonts w:ascii="Arial" w:cs="Arial" w:eastAsia="Arial" w:hAnsi="Arial"/>
          <w:b/>
          <w:bCs/>
          <w:color w:val="1F4E79"/>
        </w:rPr>
        <w:t xml:space="preserve">Executive Summary</w:t>
      </w:r>
    </w:p>
    <w:p>
      <w:pPr>
        <w:spacing w:after="100" w:before="80" w:line="300"/>
        <w:jc w:val="left"/>
      </w:pPr>
      <w:r>
        <w:rPr>
          <w:rFonts w:ascii="Arial" w:cs="Arial" w:eastAsia="Arial" w:hAnsi="Arial"/>
          <w:sz w:val="22"/>
          <w:szCs w:val="22"/>
        </w:rPr>
        <w:t xml:space="preserve">Transmax is, today, a credible engineering prototype of a regulated-industry translation agent. The codebase already articulates several ideas the wider market is only starting to put names to: a typed LangGraph state machine that routes content through translation, quality gates and refinement loops; a hash-chained audit trail; configurable regulatory profiles; and a shadcn-flavoured Next.js 16 review surface with confidence meters and audit timelines. As a proof of concept it punches above its weight for a 13,000-line backend and 14,000-line frontend with a 102-file test suite.</w:t>
      </w:r>
    </w:p>
    <w:p>
      <w:pPr>
        <w:spacing w:after="100" w:before="80" w:line="300"/>
        <w:jc w:val="left"/>
      </w:pPr>
      <w:r>
        <w:rPr>
          <w:rFonts w:ascii="Arial" w:cs="Arial" w:eastAsia="Arial" w:hAnsi="Arial"/>
          <w:sz w:val="22"/>
          <w:szCs w:val="22"/>
        </w:rPr>
        <w:t xml:space="preserve">It is not, however, an enterprise SaaS. Looked at as the product a regulatory-affairs lead at a top-20 pharma would be asked to validate, transmax has roughly the maturity of a late-prototype open-source project. Authentication defaults to off; an OpenAI API key is committed to .env; the entire schema is delivered in a single mega-migration with no history; the audit chain hashes are vulnerable to concatenation collisions; polling intervals leak; the upload path simulates files; the review screen silently falls back to mock translations on backend errors. None of these is individually catastrophic, but together they put transmax somewhere between a hackathon-grade demo and an early Series-A product. To put it bluntly: shipped tomorrow to a top-20 pharma, transmax would fail a vendor security questionnaire and a CSV / IQ-OQ-PQ validation review on day one.</w:t>
      </w:r>
    </w:p>
    <w:p>
      <w:pPr>
        <w:spacing w:after="100" w:before="80" w:line="300"/>
        <w:jc w:val="left"/>
      </w:pPr>
      <w:r>
        <w:rPr>
          <w:rFonts w:ascii="Arial" w:cs="Arial" w:eastAsia="Arial" w:hAnsi="Arial"/>
          <w:sz w:val="22"/>
          <w:szCs w:val="22"/>
        </w:rPr>
        <w:t xml:space="preserve">The opportunity, however, is real and the market is moving fast. Pharma translation is consolidating (TransPerfect acquired Unbabel in August 2025); the EU AI Act high-risk obligations come into force on 2 August 2026; the FDA published its credibility framework for AI in drug development in January 2026; and a tier of agentic-native vendors — Smartcat, Lilt, Intento — is taking share from the traditional language service providers. The incumbents have heritage but slow agentic stories; the agentic newcomers have momentum but thin pharma compliance packs. Transmax can credibly position into the gap as an agentic-first, pharma-native platform, provided it executes a focused 12–18 month hardening and productisation programme.</w:t>
      </w:r>
    </w:p>
    <w:p>
      <w:pPr>
        <w:pStyle w:val="Heading3"/>
        <w:spacing w:after="80" w:before="180"/>
      </w:pPr>
      <w:r>
        <w:rPr>
          <w:rFonts w:ascii="Arial" w:cs="Arial" w:eastAsia="Arial" w:hAnsi="Arial"/>
          <w:b/>
          <w:bCs/>
          <w:color w:val="595959"/>
        </w:rPr>
        <w:t xml:space="preserve">What this document contains</w:t>
      </w:r>
    </w:p>
    <w:p>
      <w:pPr>
        <w:pStyle w:val="ListParagraph"/>
        <w:numPr>
          <w:ilvl w:val="0"/>
          <w:numId w:val="2"/>
        </w:numPr>
        <w:spacing w:after="40" w:before="40" w:line="280"/>
      </w:pPr>
      <w:r>
        <w:rPr>
          <w:rFonts w:ascii="Arial" w:cs="Arial" w:eastAsia="Arial" w:hAnsi="Arial"/>
          <w:sz w:val="22"/>
          <w:szCs w:val="22"/>
        </w:rPr>
        <w:t xml:space="preserve">A file-by-file code-level review of the backend (FastAPI, LangGraph, SQLAlchemy, pgvector) and frontend (Next.js 16, React 19, Tailwind, Tiptap), with severity-ranked findings.</w:t>
      </w:r>
    </w:p>
    <w:p>
      <w:pPr>
        <w:pStyle w:val="ListParagraph"/>
        <w:numPr>
          <w:ilvl w:val="0"/>
          <w:numId w:val="2"/>
        </w:numPr>
        <w:spacing w:after="40" w:before="40" w:line="280"/>
      </w:pPr>
      <w:r>
        <w:rPr>
          <w:rFonts w:ascii="Arial" w:cs="Arial" w:eastAsia="Arial" w:hAnsi="Arial"/>
          <w:sz w:val="22"/>
          <w:szCs w:val="22"/>
        </w:rPr>
        <w:t xml:space="preserve">A consolidated compliance gap matrix mapped to 21 CFR Part 11, GAMP 5, EU Annex 11, GDPR, HIPAA, ISO 17100/18587/13485/27001, EMA QRD, EDQM Standard Terms, IDMP, MDR/IVDR and the EU AI Act.</w:t>
      </w:r>
    </w:p>
    <w:p>
      <w:pPr>
        <w:pStyle w:val="ListParagraph"/>
        <w:numPr>
          <w:ilvl w:val="0"/>
          <w:numId w:val="2"/>
        </w:numPr>
        <w:spacing w:after="40" w:before="40" w:line="280"/>
      </w:pPr>
      <w:r>
        <w:rPr>
          <w:rFonts w:ascii="Arial" w:cs="Arial" w:eastAsia="Arial" w:hAnsi="Arial"/>
          <w:sz w:val="22"/>
          <w:szCs w:val="22"/>
        </w:rPr>
        <w:t xml:space="preserve">A competitive benchmark across pharma LSPs (RWS, Lionbridge, TransPerfect, Welocalize, Acolad), enterprise TMS (Phrase, Smartling, Lokalise, XTM, memoQ), MT/NMT enterprise tiers (DeepL, Google, AWS, ModernMT) and agentic newcomers (Smartcat, Lilt, Intento, Unbabel).</w:t>
      </w:r>
    </w:p>
    <w:p>
      <w:pPr>
        <w:pStyle w:val="ListParagraph"/>
        <w:numPr>
          <w:ilvl w:val="0"/>
          <w:numId w:val="2"/>
        </w:numPr>
        <w:spacing w:after="40" w:before="40" w:line="280"/>
      </w:pPr>
      <w:r>
        <w:rPr>
          <w:rFonts w:ascii="Arial" w:cs="Arial" w:eastAsia="Arial" w:hAnsi="Arial"/>
          <w:sz w:val="22"/>
          <w:szCs w:val="22"/>
        </w:rPr>
        <w:t xml:space="preserve">A phased upgrade roadmap (Now / 90 days / 6 months / 12 months / 24 months) covering agent architecture, regulatory compliance, validation, deployment, observability, security, GTM and pricing.</w:t>
      </w:r>
    </w:p>
    <w:p>
      <w:pPr>
        <w:pStyle w:val="ListParagraph"/>
        <w:numPr>
          <w:ilvl w:val="0"/>
          <w:numId w:val="2"/>
        </w:numPr>
        <w:spacing w:after="40" w:before="40" w:line="280"/>
      </w:pPr>
      <w:r>
        <w:rPr>
          <w:rFonts w:ascii="Arial" w:cs="Arial" w:eastAsia="Arial" w:hAnsi="Arial"/>
          <w:sz w:val="22"/>
          <w:szCs w:val="22"/>
        </w:rPr>
        <w:t xml:space="preserve">A prioritised code-fix backlog (Appendix A) and a certification roadmap (Appendix B).</w:t>
      </w:r>
    </w:p>
    <w:p>
      <w:pPr>
        <w:pStyle w:val="Heading3"/>
        <w:spacing w:after="80" w:before="180"/>
      </w:pPr>
      <w:r>
        <w:rPr>
          <w:rFonts w:ascii="Arial" w:cs="Arial" w:eastAsia="Arial" w:hAnsi="Arial"/>
          <w:b/>
          <w:bCs/>
          <w:color w:val="595959"/>
        </w:rPr>
        <w:t xml:space="preserve">Headline verdicts</w:t>
      </w:r>
    </w:p>
    <w:p>
      <w:pPr>
        <w:spacing w:after="100" w:before="80" w:line="300"/>
      </w:pPr>
      <w:r>
        <w:rPr>
          <w:rFonts w:ascii="Arial" w:cs="Arial" w:eastAsia="Arial" w:hAnsi="Arial"/>
          <w:b/>
          <w:bCs/>
          <w:sz w:val="22"/>
          <w:szCs w:val="22"/>
        </w:rPr>
        <w:t xml:space="preserve">Backend depth: </w:t>
      </w:r>
      <w:r>
        <w:rPr>
          <w:rFonts w:ascii="Arial" w:cs="Arial" w:eastAsia="Arial" w:hAnsi="Arial"/>
          <w:sz w:val="22"/>
          <w:szCs w:val="22"/>
        </w:rPr>
        <w:t xml:space="preserve">Architecturally promising, operationally immature. The LangGraph design is the strongest single asset in the repository. The audit, RBAC and resilience scaffolding is conceptually right but cryptographically and operationally weak. Estimated 3–6 months of focused hardening to reach pharma SaaS readiness.</w:t>
      </w:r>
    </w:p>
    <w:p>
      <w:pPr>
        <w:spacing w:after="100" w:before="80" w:line="300"/>
      </w:pPr>
      <w:r>
        <w:rPr>
          <w:rFonts w:ascii="Arial" w:cs="Arial" w:eastAsia="Arial" w:hAnsi="Arial"/>
          <w:b/>
          <w:bCs/>
          <w:sz w:val="22"/>
          <w:szCs w:val="22"/>
        </w:rPr>
        <w:t xml:space="preserve">Frontend depth: </w:t>
      </w:r>
      <w:r>
        <w:rPr>
          <w:rFonts w:ascii="Arial" w:cs="Arial" w:eastAsia="Arial" w:hAnsi="Arial"/>
          <w:sz w:val="22"/>
          <w:szCs w:val="22"/>
        </w:rPr>
        <w:t xml:space="preserve">A fast-moving prototype with two parallel information architectures (/* and /workspace/*), a build that does not currently pass, mock data baked into review surfaces, and no test framework. Solid component scaffolding but the design system is roughly half built. Estimated 2–3 months of consolidation.</w:t>
      </w:r>
    </w:p>
    <w:p>
      <w:pPr>
        <w:spacing w:after="100" w:before="80" w:line="300"/>
      </w:pPr>
      <w:r>
        <w:rPr>
          <w:rFonts w:ascii="Arial" w:cs="Arial" w:eastAsia="Arial" w:hAnsi="Arial"/>
          <w:b/>
          <w:bCs/>
          <w:sz w:val="22"/>
          <w:szCs w:val="22"/>
        </w:rPr>
        <w:t xml:space="preserve">Compliance posture: </w:t>
      </w:r>
      <w:r>
        <w:rPr>
          <w:rFonts w:ascii="Arial" w:cs="Arial" w:eastAsia="Arial" w:hAnsi="Arial"/>
          <w:sz w:val="22"/>
          <w:szCs w:val="22"/>
        </w:rPr>
        <w:t xml:space="preserve">Approximately 35–40% of what a pharma buyer will require. The audit-trail concept is in place; access control, e-signatures, data residency, validation pack, eCTD/IDMP integrations, linguistic validation and EU AI Act conformity assessment are missing or stubbed.</w:t>
      </w:r>
    </w:p>
    <w:p>
      <w:pPr>
        <w:spacing w:after="100" w:before="80" w:line="300"/>
      </w:pPr>
      <w:r>
        <w:rPr>
          <w:rFonts w:ascii="Arial" w:cs="Arial" w:eastAsia="Arial" w:hAnsi="Arial"/>
          <w:b/>
          <w:bCs/>
          <w:sz w:val="22"/>
          <w:szCs w:val="22"/>
        </w:rPr>
        <w:t xml:space="preserve">Strategic position: </w:t>
      </w:r>
      <w:r>
        <w:rPr>
          <w:rFonts w:ascii="Arial" w:cs="Arial" w:eastAsia="Arial" w:hAnsi="Arial"/>
          <w:sz w:val="22"/>
          <w:szCs w:val="22"/>
        </w:rPr>
        <w:t xml:space="preserve">Transmax is best positioned as an agentic-first, pharma-native translation platform with explicit 21 CFR Part 11 and EU AI Act conformity-by-design. Its closest competitors are Smartcat (agentic, broad) and Lilt (regulatory-aware adaptive MT); transmax can differentiate on regulatory depth (EMA QRD, EDQM, IDMP, eCTD), on validation-pack-by-default, and on a transparent audit ledger that survives third-party scrutiny.</w:t>
      </w:r>
    </w:p>
    <w:p>
      <w:pPr>
        <w:pStyle w:val="Heading1"/>
        <w:pageBreakBefore/>
        <w:spacing w:after="200" w:before="240"/>
      </w:pPr>
      <w:r>
        <w:rPr>
          <w:rFonts w:ascii="Arial" w:cs="Arial" w:eastAsia="Arial" w:hAnsi="Arial"/>
          <w:b/>
          <w:bCs/>
          <w:color w:val="1F4E79"/>
        </w:rPr>
        <w:t xml:space="preserve">1. Repository and Stack Snapshot</w:t>
      </w:r>
    </w:p>
    <w:p>
      <w:pPr>
        <w:spacing w:after="100" w:before="80" w:line="300"/>
        <w:jc w:val="left"/>
      </w:pPr>
      <w:r>
        <w:rPr>
          <w:rFonts w:ascii="Arial" w:cs="Arial" w:eastAsia="Arial" w:hAnsi="Arial"/>
          <w:sz w:val="22"/>
          <w:szCs w:val="22"/>
        </w:rPr>
        <w:t xml:space="preserve">The transmax repository is a polyglot monorepo containing a FastAPI backend, a Next.js frontend, an SDK package, an MCP server package, a single-revision Alembic migration tree, a Docker compose configuration and a substantial test corpus. The combined first-party source surface is in the order of 27,000 lines.</w:t>
      </w:r>
    </w:p>
    <w:p>
      <w:pPr>
        <w:pStyle w:val="Heading2"/>
        <w:spacing w:after="120" w:before="240"/>
      </w:pPr>
      <w:r>
        <w:rPr>
          <w:rFonts w:ascii="Arial" w:cs="Arial" w:eastAsia="Arial" w:hAnsi="Arial"/>
          <w:b/>
          <w:bCs/>
          <w:color w:val="1F4E79"/>
        </w:rPr>
        <w:t xml:space="preserve">Stack at a glance</w:t>
      </w:r>
    </w:p>
    <w:p>
      <w:pPr>
        <w:pStyle w:val="ListParagraph"/>
        <w:numPr>
          <w:ilvl w:val="0"/>
          <w:numId w:val="2"/>
        </w:numPr>
        <w:spacing w:after="40" w:before="40" w:line="280"/>
      </w:pPr>
      <w:r>
        <w:rPr>
          <w:rFonts w:ascii="Arial" w:cs="Arial" w:eastAsia="Arial" w:hAnsi="Arial"/>
          <w:b/>
          <w:bCs/>
          <w:sz w:val="22"/>
          <w:szCs w:val="22"/>
        </w:rPr>
        <w:t xml:space="preserve">Backend: </w:t>
      </w:r>
      <w:r>
        <w:rPr>
          <w:rFonts w:ascii="Arial" w:cs="Arial" w:eastAsia="Arial" w:hAnsi="Arial"/>
          <w:sz w:val="22"/>
          <w:szCs w:val="22"/>
        </w:rPr>
        <w:t xml:space="preserve">Python 3.11+, FastAPI, SQLAlchemy 2.x ORM, Alembic, LangGraph + LangChain, OpenAI / Anthropic / DeepL providers, pgvector, Redis (referenced), python-jose JWT, passlib / bcrypt, Prometheus client, OpenTelemetry SDK, tenacity, pypdf, python-docx, langdetect, janome, reportlab.</w:t>
      </w:r>
    </w:p>
    <w:p>
      <w:pPr>
        <w:pStyle w:val="ListParagraph"/>
        <w:numPr>
          <w:ilvl w:val="0"/>
          <w:numId w:val="2"/>
        </w:numPr>
        <w:spacing w:after="40" w:before="40" w:line="280"/>
      </w:pPr>
      <w:r>
        <w:rPr>
          <w:rFonts w:ascii="Arial" w:cs="Arial" w:eastAsia="Arial" w:hAnsi="Arial"/>
          <w:b/>
          <w:bCs/>
          <w:sz w:val="22"/>
          <w:szCs w:val="22"/>
        </w:rPr>
        <w:t xml:space="preserve">Frontend: </w:t>
      </w:r>
      <w:r>
        <w:rPr>
          <w:rFonts w:ascii="Arial" w:cs="Arial" w:eastAsia="Arial" w:hAnsi="Arial"/>
          <w:sz w:val="22"/>
          <w:szCs w:val="22"/>
        </w:rPr>
        <w:t xml:space="preserve">Next.js 16 (App Router), React 19, TypeScript 5, Tailwind 3, Radix UI primitives (popover, slot), Tiptap rich-text editor with table extensions, framer-motion, lucide-react, sonner toasts. No state-management or data-fetching library; no test framework configured.</w:t>
      </w:r>
    </w:p>
    <w:p>
      <w:pPr>
        <w:pStyle w:val="ListParagraph"/>
        <w:numPr>
          <w:ilvl w:val="0"/>
          <w:numId w:val="2"/>
        </w:numPr>
        <w:spacing w:after="40" w:before="40" w:line="280"/>
      </w:pPr>
      <w:r>
        <w:rPr>
          <w:rFonts w:ascii="Arial" w:cs="Arial" w:eastAsia="Arial" w:hAnsi="Arial"/>
          <w:b/>
          <w:bCs/>
          <w:sz w:val="22"/>
          <w:szCs w:val="22"/>
        </w:rPr>
        <w:t xml:space="preserve">Packaging: </w:t>
      </w:r>
      <w:r>
        <w:rPr>
          <w:rFonts w:ascii="Arial" w:cs="Arial" w:eastAsia="Arial" w:hAnsi="Arial"/>
          <w:sz w:val="22"/>
          <w:szCs w:val="22"/>
        </w:rPr>
        <w:t xml:space="preserve">transmax_sdk for external integrations and transmax_mcp for an MCP server surface, both under the setuptools project transmax-sdk 0.1.0.</w:t>
      </w:r>
    </w:p>
    <w:p>
      <w:pPr>
        <w:pStyle w:val="ListParagraph"/>
        <w:numPr>
          <w:ilvl w:val="0"/>
          <w:numId w:val="2"/>
        </w:numPr>
        <w:spacing w:after="40" w:before="40" w:line="280"/>
      </w:pPr>
      <w:r>
        <w:rPr>
          <w:rFonts w:ascii="Arial" w:cs="Arial" w:eastAsia="Arial" w:hAnsi="Arial"/>
          <w:b/>
          <w:bCs/>
          <w:sz w:val="22"/>
          <w:szCs w:val="22"/>
        </w:rPr>
        <w:t xml:space="preserve">Persistence: </w:t>
      </w:r>
      <w:r>
        <w:rPr>
          <w:rFonts w:ascii="Arial" w:cs="Arial" w:eastAsia="Arial" w:hAnsi="Arial"/>
          <w:sz w:val="22"/>
          <w:szCs w:val="22"/>
        </w:rPr>
        <w:t xml:space="preserve">Default DATABASE_URL is sqlite:///./transmax.db. Production guidance points to PostgreSQL with pgvector. Three databases (transmax.db, test_transmax.db, test_rbac.db) are checked into the repo root.</w:t>
      </w:r>
    </w:p>
    <w:p>
      <w:pPr>
        <w:pStyle w:val="ListParagraph"/>
        <w:numPr>
          <w:ilvl w:val="0"/>
          <w:numId w:val="2"/>
        </w:numPr>
        <w:spacing w:after="40" w:before="40" w:line="280"/>
      </w:pPr>
      <w:r>
        <w:rPr>
          <w:rFonts w:ascii="Arial" w:cs="Arial" w:eastAsia="Arial" w:hAnsi="Arial"/>
          <w:b/>
          <w:bCs/>
          <w:sz w:val="22"/>
          <w:szCs w:val="22"/>
        </w:rPr>
        <w:t xml:space="preserve">Deployment: </w:t>
      </w:r>
      <w:r>
        <w:rPr>
          <w:rFonts w:ascii="Arial" w:cs="Arial" w:eastAsia="Arial" w:hAnsi="Arial"/>
          <w:sz w:val="22"/>
          <w:szCs w:val="22"/>
        </w:rPr>
        <w:t xml:space="preserve">Dockerfile and docker-compose.yml present; deployment_guide.md outlines a SQLite to Postgres switchover; no Helm chart, no Terraform, no Kubernetes manifests, no production CI/CD pipeline beyond GitHub Actions stubs in .github/.</w:t>
      </w:r>
    </w:p>
    <w:p>
      <w:pPr>
        <w:pStyle w:val="Heading2"/>
        <w:spacing w:after="120" w:before="240"/>
      </w:pPr>
      <w:r>
        <w:rPr>
          <w:rFonts w:ascii="Arial" w:cs="Arial" w:eastAsia="Arial" w:hAnsi="Arial"/>
          <w:b/>
          <w:bCs/>
          <w:color w:val="1F4E79"/>
        </w:rPr>
        <w:t xml:space="preserve">Approximate size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Area</w:t>
            </w:r>
          </w:p>
        </w:tc>
        <w:tc>
          <w:tcPr>
            <w:tcW w:type="dxa" w:w="14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Lines</w:t>
            </w:r>
          </w:p>
        </w:tc>
        <w:tc>
          <w:tcPr>
            <w:tcW w:type="dxa" w:w="55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Notes</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Backend app/</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~12,820</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Agents, API, auth, core, models, schemas, services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transmax_sdk/</w:t>
            </w:r>
          </w:p>
        </w:tc>
        <w:tc>
          <w:tcPr>
            <w:tcW w:type="dxa" w:w="1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~1,200</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Public SDK surface (early)</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transmax_mcp/</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~400</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MCP server stub</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Backend tests/</w:t>
            </w:r>
          </w:p>
        </w:tc>
        <w:tc>
          <w:tcPr>
            <w:tcW w:type="dxa" w:w="1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~4,500</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102 test files; mixed unit / integration / NFR</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Alembic migrations</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~183</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Single mega-migration 430291da76c3</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Frontend app / components / lib</w:t>
            </w:r>
          </w:p>
        </w:tc>
        <w:tc>
          <w:tcPr>
            <w:tcW w:type="dxa" w:w="1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~14,251</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Next.js 16; ~25 routes; ~20 components</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Total first-party</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~33,000</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Excluding logs, debug artefacts, generated files</w:t>
            </w:r>
          </w:p>
        </w:tc>
      </w:tr>
    </w:tbl>
    <w:p>
      <w:pPr>
        <w:pStyle w:val="Heading2"/>
        <w:spacing w:after="120" w:before="240"/>
      </w:pPr>
      <w:r>
        <w:rPr>
          <w:rFonts w:ascii="Arial" w:cs="Arial" w:eastAsia="Arial" w:hAnsi="Arial"/>
          <w:b/>
          <w:bCs/>
          <w:color w:val="1F4E79"/>
        </w:rPr>
        <w:t xml:space="preserve">Maturity signals</w:t>
      </w:r>
    </w:p>
    <w:p>
      <w:pPr>
        <w:spacing w:after="100" w:before="80" w:line="300"/>
      </w:pPr>
      <w:r>
        <w:rPr>
          <w:rFonts w:ascii="Arial" w:cs="Arial" w:eastAsia="Arial" w:hAnsi="Arial"/>
          <w:b/>
          <w:bCs/>
          <w:sz w:val="22"/>
          <w:szCs w:val="22"/>
        </w:rPr>
        <w:t xml:space="preserve">Positive: </w:t>
      </w:r>
      <w:r>
        <w:rPr>
          <w:rFonts w:ascii="Arial" w:cs="Arial" w:eastAsia="Arial" w:hAnsi="Arial"/>
          <w:sz w:val="22"/>
          <w:szCs w:val="22"/>
        </w:rPr>
        <w:t xml:space="preserve">Typed LangGraph state machine; defect taxonomy and scoring config; per-language packs (Arabic, Chinese, French, German, Japanese, Korean, Portuguese, Spanish); regulatory profile resolver; evidence service and pilot-readiness JSON; dedicated quality-gate folder; structured handoff log under .context/.</w:t>
      </w:r>
    </w:p>
    <w:p>
      <w:pPr>
        <w:spacing w:after="100" w:before="80" w:line="300"/>
      </w:pPr>
      <w:r>
        <w:rPr>
          <w:rFonts w:ascii="Arial" w:cs="Arial" w:eastAsia="Arial" w:hAnsi="Arial"/>
          <w:b/>
          <w:bCs/>
          <w:sz w:val="22"/>
          <w:szCs w:val="22"/>
        </w:rPr>
        <w:t xml:space="preserve">Concerning: </w:t>
      </w:r>
      <w:r>
        <w:rPr>
          <w:rFonts w:ascii="Arial" w:cs="Arial" w:eastAsia="Arial" w:hAnsi="Arial"/>
          <w:sz w:val="22"/>
          <w:szCs w:val="22"/>
        </w:rPr>
        <w:t xml:space="preserve">More than thirty debug, log and test-artefact files are committed at the repo root (backend_debug.log, log_safe.txt, debug_tamper.log, error_translations.txt, qg_report_final.json, test_response.json, transmax.db, test_rbac.db, test_transmax.db and others). The .env file is committed with what appears to be a real OpenAI API key. The .gitignore omits *.db and .env. Frontend build logs (build_err.log, build_err_2.log) indicate that the application does not currently compile, blocking CI/CD.</w:t>
      </w:r>
    </w:p>
    <w:p>
      <w:pPr>
        <w:pStyle w:val="Heading1"/>
        <w:pageBreakBefore/>
        <w:spacing w:after="200" w:before="240"/>
      </w:pPr>
      <w:r>
        <w:rPr>
          <w:rFonts w:ascii="Arial" w:cs="Arial" w:eastAsia="Arial" w:hAnsi="Arial"/>
          <w:b/>
          <w:bCs/>
          <w:color w:val="1F4E79"/>
        </w:rPr>
        <w:t xml:space="preserve">2. Architecture Map</w:t>
      </w:r>
    </w:p>
    <w:p>
      <w:pPr>
        <w:spacing w:after="100" w:before="80" w:line="300"/>
        <w:jc w:val="left"/>
      </w:pPr>
      <w:r>
        <w:rPr>
          <w:rFonts w:ascii="Arial" w:cs="Arial" w:eastAsia="Arial" w:hAnsi="Arial"/>
          <w:sz w:val="22"/>
          <w:szCs w:val="22"/>
        </w:rPr>
        <w:t xml:space="preserve">The system divides cleanly into five tiers: HTTP routing, agent orchestration, services, data access and external integrations. The lines between tiers are mostly clean; the principal leakage points are the database service (instantiated as a singleton with auto-init side effects) and the quality-gate service (also a lazy singleton, not thread-safe).</w:t>
      </w:r>
    </w:p>
    <w:p>
      <w:pPr>
        <w:pStyle w:val="Heading2"/>
        <w:spacing w:after="120" w:before="240"/>
      </w:pPr>
      <w:r>
        <w:rPr>
          <w:rFonts w:ascii="Arial" w:cs="Arial" w:eastAsia="Arial" w:hAnsi="Arial"/>
          <w:b/>
          <w:bCs/>
          <w:color w:val="1F4E79"/>
        </w:rPr>
        <w:t xml:space="preserve">Backend tiers</w:t>
      </w:r>
    </w:p>
    <w:p>
      <w:pPr>
        <w:spacing w:after="100" w:before="80" w:line="300"/>
      </w:pPr>
      <w:r>
        <w:rPr>
          <w:rFonts w:ascii="Arial" w:cs="Arial" w:eastAsia="Arial" w:hAnsi="Arial"/>
          <w:b/>
          <w:bCs/>
          <w:sz w:val="22"/>
          <w:szCs w:val="22"/>
        </w:rPr>
        <w:t xml:space="preserve">HTTP layer: </w:t>
      </w:r>
      <w:r>
        <w:rPr>
          <w:rFonts w:ascii="Arial" w:cs="Arial" w:eastAsia="Arial" w:hAnsi="Arial"/>
          <w:sz w:val="22"/>
          <w:szCs w:val="22"/>
        </w:rPr>
        <w:t xml:space="preserve">FastAPI app in app/main.py. Routes split between a legacy /api namespace (auth, dashboard, documents, endpoints, knowledge, segments, tools) and a /api/v1 namespace (audit, translations). CORS is permissive in development. There is no rate limiting, no per-tenant quota and no request-id propagation in middleware.</w:t>
      </w:r>
    </w:p>
    <w:p>
      <w:pPr>
        <w:spacing w:after="100" w:before="80" w:line="300"/>
      </w:pPr>
      <w:r>
        <w:rPr>
          <w:rFonts w:ascii="Arial" w:cs="Arial" w:eastAsia="Arial" w:hAnsi="Arial"/>
          <w:b/>
          <w:bCs/>
          <w:sz w:val="22"/>
          <w:szCs w:val="22"/>
        </w:rPr>
        <w:t xml:space="preserve">Agent layer: </w:t>
      </w:r>
      <w:r>
        <w:rPr>
          <w:rFonts w:ascii="Arial" w:cs="Arial" w:eastAsia="Arial" w:hAnsi="Arial"/>
          <w:sz w:val="22"/>
          <w:szCs w:val="22"/>
        </w:rPr>
        <w:t xml:space="preserve">app/agents/graph.py defines a TransMaxState TypedDict and seven LangGraph nodes — validate_request, load_segments, compile_constraints, translate, run_quality_gates, refine_translation, reverse_translate, finalize_job — wired with a conditional edge from quality gates back into refinement (capped at three iterations). The translation node delegates to app/agents/nodes/translation_engine.py and persists to the database. Quality gates run deterministic checks delegated to app/services/quality_gate.py.</w:t>
      </w:r>
    </w:p>
    <w:p>
      <w:pPr>
        <w:spacing w:after="100" w:before="80" w:line="300"/>
      </w:pPr>
      <w:r>
        <w:rPr>
          <w:rFonts w:ascii="Arial" w:cs="Arial" w:eastAsia="Arial" w:hAnsi="Arial"/>
          <w:b/>
          <w:bCs/>
          <w:sz w:val="22"/>
          <w:szCs w:val="22"/>
        </w:rPr>
        <w:t xml:space="preserve">Services layer: </w:t>
      </w:r>
      <w:r>
        <w:rPr>
          <w:rFonts w:ascii="Arial" w:cs="Arial" w:eastAsia="Arial" w:hAnsi="Arial"/>
          <w:sz w:val="22"/>
          <w:szCs w:val="22"/>
        </w:rPr>
        <w:t xml:space="preserve">Quality gate; audit (hash-chained); database; resilience (circuit breaker, tenacity retries); PII (regex-based mask / unmask); observability (in-memory metric counters); learning (Black Book rule extraction with auto-approval at 0.90 confidence); evidence (chain-integrity reporting); language detection; language packs; language calibration; document export; docx / pdf ingestion; JSON parser; queue service; review service; reporting service.</w:t>
      </w:r>
    </w:p>
    <w:p>
      <w:pPr>
        <w:spacing w:after="100" w:before="80" w:line="300"/>
      </w:pPr>
      <w:r>
        <w:rPr>
          <w:rFonts w:ascii="Arial" w:cs="Arial" w:eastAsia="Arial" w:hAnsi="Arial"/>
          <w:b/>
          <w:bCs/>
          <w:sz w:val="22"/>
          <w:szCs w:val="22"/>
        </w:rPr>
        <w:t xml:space="preserve">Data layer: </w:t>
      </w:r>
      <w:r>
        <w:rPr>
          <w:rFonts w:ascii="Arial" w:cs="Arial" w:eastAsia="Arial" w:hAnsi="Arial"/>
          <w:sz w:val="22"/>
          <w:szCs w:val="22"/>
        </w:rPr>
        <w:t xml:space="preserve">SQLAlchemy ORM models for Document, Segment, TranslationJobQueue, AuditRecord, AuditLogEntry, QualityScorecard / ScorecardEntry, Glossary / GlossaryTerm, TranslationMemory (with pgvector embedding), TranslationRule (Black Book), JobConfigSnapshot (immutable per-job config blob with integrity hash), User, Role. Schema is delivered as one Alembic revision.</w:t>
      </w:r>
    </w:p>
    <w:p>
      <w:pPr>
        <w:spacing w:after="100" w:before="80" w:line="300"/>
      </w:pPr>
      <w:r>
        <w:rPr>
          <w:rFonts w:ascii="Arial" w:cs="Arial" w:eastAsia="Arial" w:hAnsi="Arial"/>
          <w:b/>
          <w:bCs/>
          <w:sz w:val="22"/>
          <w:szCs w:val="22"/>
        </w:rPr>
        <w:t xml:space="preserve">External integrations: </w:t>
      </w:r>
      <w:r>
        <w:rPr>
          <w:rFonts w:ascii="Arial" w:cs="Arial" w:eastAsia="Arial" w:hAnsi="Arial"/>
          <w:sz w:val="22"/>
          <w:szCs w:val="22"/>
        </w:rPr>
        <w:t xml:space="preserve">LLM providers (OpenAI, Anthropic, DeepL) abstracted through app/services/llm.py; embeddings via OpenAI for vector search; a regulatory profile registry referencing EMA, FDA, MHRA, SFDA, EDQM (largely as labels rather than enforced rules).</w:t>
      </w:r>
    </w:p>
    <w:p>
      <w:pPr>
        <w:pStyle w:val="Heading2"/>
        <w:spacing w:after="120" w:before="240"/>
      </w:pPr>
      <w:r>
        <w:rPr>
          <w:rFonts w:ascii="Arial" w:cs="Arial" w:eastAsia="Arial" w:hAnsi="Arial"/>
          <w:b/>
          <w:bCs/>
          <w:color w:val="1F4E79"/>
        </w:rPr>
        <w:t xml:space="preserve">Frontend information architecture</w:t>
      </w:r>
    </w:p>
    <w:p>
      <w:pPr>
        <w:spacing w:after="100" w:before="80" w:line="300"/>
        <w:jc w:val="left"/>
      </w:pPr>
      <w:r>
        <w:rPr>
          <w:rFonts w:ascii="Arial" w:cs="Arial" w:eastAsia="Arial" w:hAnsi="Arial"/>
          <w:sz w:val="22"/>
          <w:szCs w:val="22"/>
        </w:rPr>
        <w:t xml:space="preserve">The frontend has, problematically, two parallel routings. A top-level set of screens lives at /, /login, /new, /document/[docId], /translate/[jobId], /review/[jobId], /knowledge and /design-system. A /workspace/* set adds audit, control, documents/[id], jobs, layout, projects/[id], tools, trust and upload. Two separate document workstations exist; two ways to start a job; two different theming conventions (light slate-50 in /new versus dark slate-950 in /document/[docId]). This is either an incomplete migration or two competing design directions; either way it must be unified before the product is sold.</w:t>
      </w:r>
    </w:p>
    <w:p>
      <w:pPr>
        <w:spacing w:after="100" w:before="80" w:line="300"/>
        <w:jc w:val="left"/>
      </w:pPr>
      <w:r>
        <w:rPr>
          <w:rFonts w:ascii="Arial" w:cs="Arial" w:eastAsia="Arial" w:hAnsi="Arial"/>
          <w:sz w:val="22"/>
          <w:szCs w:val="22"/>
        </w:rPr>
        <w:t xml:space="preserve">The auth context lives in lib/auth.tsx; the API client is a singleton in lib/api.ts with timeout, abort, auth-header injection and a 401 handler that performs a hard window.location.href redirect. RequireRole gates UI on permissions defined in lib/permissions.ts. Middleware in middleware.ts performs UX-level gating only; the authoritative gate must always be the backend.</w:t>
      </w:r>
    </w:p>
    <w:p>
      <w:pPr>
        <w:pStyle w:val="Heading1"/>
        <w:pageBreakBefore/>
        <w:spacing w:after="200" w:before="240"/>
      </w:pPr>
      <w:r>
        <w:rPr>
          <w:rFonts w:ascii="Arial" w:cs="Arial" w:eastAsia="Arial" w:hAnsi="Arial"/>
          <w:b/>
          <w:bCs/>
          <w:color w:val="1F4E79"/>
        </w:rPr>
        <w:t xml:space="preserve">3. Backend Code Review</w:t>
      </w:r>
    </w:p>
    <w:p>
      <w:pPr>
        <w:spacing w:after="100" w:before="80" w:line="300"/>
        <w:jc w:val="left"/>
      </w:pPr>
      <w:r>
        <w:rPr>
          <w:rFonts w:ascii="Arial" w:cs="Arial" w:eastAsia="Arial" w:hAnsi="Arial"/>
          <w:sz w:val="22"/>
          <w:szCs w:val="22"/>
        </w:rPr>
        <w:t xml:space="preserve">This section is a file-by-file review of the FastAPI backend, the LangGraph agent, the supporting services, the persistence layer, the SDK and MCP packages, and the test corpus. Findings are graded Critical, High, Medium or Low. Every finding cites a specific file (and where useful, a line) and explains the pharma-specific impact rather than the generic engineering one. Total findings recorded: more than fifty.</w:t>
      </w:r>
    </w:p>
    <w:p>
      <w:pPr>
        <w:pStyle w:val="Heading2"/>
        <w:spacing w:after="120" w:before="240"/>
      </w:pPr>
      <w:r>
        <w:rPr>
          <w:rFonts w:ascii="Arial" w:cs="Arial" w:eastAsia="Arial" w:hAnsi="Arial"/>
          <w:b/>
          <w:bCs/>
          <w:color w:val="1F4E79"/>
        </w:rPr>
        <w:t xml:space="preserve">3.1 Strengths</w:t>
      </w:r>
    </w:p>
    <w:p>
      <w:pPr>
        <w:pStyle w:val="ListParagraph"/>
        <w:numPr>
          <w:ilvl w:val="0"/>
          <w:numId w:val="2"/>
        </w:numPr>
        <w:spacing w:after="40" w:before="40" w:line="280"/>
      </w:pPr>
      <w:r>
        <w:rPr>
          <w:rFonts w:ascii="Arial" w:cs="Arial" w:eastAsia="Arial" w:hAnsi="Arial"/>
          <w:sz w:val="22"/>
          <w:szCs w:val="22"/>
        </w:rPr>
        <w:t xml:space="preserve">Typed LangGraph state machine in app/agents/graph.py with explicit nodes, conditional edges, an iteration cap and loop detection. This is the strongest single asset in the codebase.</w:t>
      </w:r>
    </w:p>
    <w:p>
      <w:pPr>
        <w:pStyle w:val="ListParagraph"/>
        <w:numPr>
          <w:ilvl w:val="0"/>
          <w:numId w:val="2"/>
        </w:numPr>
        <w:spacing w:after="40" w:before="40" w:line="280"/>
      </w:pPr>
      <w:r>
        <w:rPr>
          <w:rFonts w:ascii="Arial" w:cs="Arial" w:eastAsia="Arial" w:hAnsi="Arial"/>
          <w:sz w:val="22"/>
          <w:szCs w:val="22"/>
        </w:rPr>
        <w:t xml:space="preserve">Deterministic quality gates in app/services/quality_gate.py with eight-plus defect categories mapped to severities (Critical, Major, Minor) and language-pack integration. The defect taxonomy in app/core/defect_taxonomy.py is well structured.</w:t>
      </w:r>
    </w:p>
    <w:p>
      <w:pPr>
        <w:pStyle w:val="ListParagraph"/>
        <w:numPr>
          <w:ilvl w:val="0"/>
          <w:numId w:val="2"/>
        </w:numPr>
        <w:spacing w:after="40" w:before="40" w:line="280"/>
      </w:pPr>
      <w:r>
        <w:rPr>
          <w:rFonts w:ascii="Arial" w:cs="Arial" w:eastAsia="Arial" w:hAnsi="Arial"/>
          <w:sz w:val="22"/>
          <w:szCs w:val="22"/>
        </w:rPr>
        <w:t xml:space="preserve">Hash-chained audit ledger in app/services/audit_service.py with sequential previous-hash linkage, integrity-verification logic and a verify_chain_integrity entry point.</w:t>
      </w:r>
    </w:p>
    <w:p>
      <w:pPr>
        <w:pStyle w:val="ListParagraph"/>
        <w:numPr>
          <w:ilvl w:val="0"/>
          <w:numId w:val="2"/>
        </w:numPr>
        <w:spacing w:after="40" w:before="40" w:line="280"/>
      </w:pPr>
      <w:r>
        <w:rPr>
          <w:rFonts w:ascii="Arial" w:cs="Arial" w:eastAsia="Arial" w:hAnsi="Arial"/>
          <w:sz w:val="22"/>
          <w:szCs w:val="22"/>
        </w:rPr>
        <w:t xml:space="preserve">Per-job immutable JobConfigSnapshot with integrity hash captures the model, prompts and policy at translation time — exactly the right primitive for reproducibility under GxP.</w:t>
      </w:r>
    </w:p>
    <w:p>
      <w:pPr>
        <w:pStyle w:val="ListParagraph"/>
        <w:numPr>
          <w:ilvl w:val="0"/>
          <w:numId w:val="2"/>
        </w:numPr>
        <w:spacing w:after="40" w:before="40" w:line="280"/>
      </w:pPr>
      <w:r>
        <w:rPr>
          <w:rFonts w:ascii="Arial" w:cs="Arial" w:eastAsia="Arial" w:hAnsi="Arial"/>
          <w:sz w:val="22"/>
          <w:szCs w:val="22"/>
        </w:rPr>
        <w:t xml:space="preserve">Six-role RBAC scaffolding (Admin, Programme Manager, Translator, Reviewer, Curator, Viewer) with a permission matrix in app/auth/permissions.py.</w:t>
      </w:r>
    </w:p>
    <w:p>
      <w:pPr>
        <w:pStyle w:val="ListParagraph"/>
        <w:numPr>
          <w:ilvl w:val="0"/>
          <w:numId w:val="2"/>
        </w:numPr>
        <w:spacing w:after="40" w:before="40" w:line="280"/>
      </w:pPr>
      <w:r>
        <w:rPr>
          <w:rFonts w:ascii="Arial" w:cs="Arial" w:eastAsia="Arial" w:hAnsi="Arial"/>
          <w:sz w:val="22"/>
          <w:szCs w:val="22"/>
        </w:rPr>
        <w:t xml:space="preserve">Glossary plus translation-memory primitives, batch exact-match lookup and pgvector integration; password storage uses passlib bcrypt.</w:t>
      </w:r>
    </w:p>
    <w:p>
      <w:pPr>
        <w:pStyle w:val="ListParagraph"/>
        <w:numPr>
          <w:ilvl w:val="0"/>
          <w:numId w:val="2"/>
        </w:numPr>
        <w:spacing w:after="40" w:before="40" w:line="280"/>
      </w:pPr>
      <w:r>
        <w:rPr>
          <w:rFonts w:ascii="Arial" w:cs="Arial" w:eastAsia="Arial" w:hAnsi="Arial"/>
          <w:sz w:val="22"/>
          <w:szCs w:val="22"/>
        </w:rPr>
        <w:t xml:space="preserve">102 test files covering golden path, tamper detection, RBAC, vector search and a number of NFR scenarios. Breadth is genuinely impressive for a prototype.</w:t>
      </w:r>
    </w:p>
    <w:p>
      <w:pPr>
        <w:pStyle w:val="ListParagraph"/>
        <w:numPr>
          <w:ilvl w:val="0"/>
          <w:numId w:val="2"/>
        </w:numPr>
        <w:spacing w:after="40" w:before="40" w:line="280"/>
      </w:pPr>
      <w:r>
        <w:rPr>
          <w:rFonts w:ascii="Arial" w:cs="Arial" w:eastAsia="Arial" w:hAnsi="Arial"/>
          <w:sz w:val="22"/>
          <w:szCs w:val="22"/>
        </w:rPr>
        <w:t xml:space="preserve">Resilience module with circuit breaker, exponential backoff and timeouts on LLM calls.</w:t>
      </w:r>
    </w:p>
    <w:p>
      <w:pPr>
        <w:pStyle w:val="ListParagraph"/>
        <w:numPr>
          <w:ilvl w:val="0"/>
          <w:numId w:val="2"/>
        </w:numPr>
        <w:spacing w:after="40" w:before="40" w:line="280"/>
      </w:pPr>
      <w:r>
        <w:rPr>
          <w:rFonts w:ascii="Arial" w:cs="Arial" w:eastAsia="Arial" w:hAnsi="Arial"/>
          <w:sz w:val="22"/>
          <w:szCs w:val="22"/>
        </w:rPr>
        <w:t xml:space="preserve">Language-pair calibration module that acknowledges en→ja is harder than en→fr and adjusts confidence accordingly.</w:t>
      </w:r>
    </w:p>
    <w:p>
      <w:pPr>
        <w:pStyle w:val="Heading2"/>
        <w:spacing w:after="120" w:before="240"/>
      </w:pPr>
      <w:r>
        <w:rPr>
          <w:rFonts w:ascii="Arial" w:cs="Arial" w:eastAsia="Arial" w:hAnsi="Arial"/>
          <w:b/>
          <w:bCs/>
          <w:color w:val="1F4E79"/>
        </w:rPr>
        <w:t xml:space="preserve">3.2 Critical findings</w:t>
      </w:r>
    </w:p>
    <w:p>
      <w:pPr>
        <w:spacing w:after="100" w:before="80" w:line="300"/>
        <w:jc w:val="left"/>
      </w:pPr>
      <w:r>
        <w:rPr>
          <w:rFonts w:ascii="Arial" w:cs="Arial" w:eastAsia="Arial" w:hAnsi="Arial"/>
          <w:sz w:val="22"/>
          <w:szCs w:val="22"/>
        </w:rPr>
        <w:t xml:space="preserve">These are issues that would cause an outright pharma-customer rejection or pose direct security or regulatory risk. They must be addressed before any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900"/>
        <w:gridCol w:w="2900"/>
        <w:gridCol w:w="28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ID</w:t>
            </w:r>
          </w:p>
        </w:tc>
        <w:tc>
          <w:tcPr>
            <w:tcW w:type="dxa" w:w="11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Area</w:t>
            </w:r>
          </w:p>
        </w:tc>
        <w:tc>
          <w:tcPr>
            <w:tcW w:type="dxa" w:w="19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File</w:t>
            </w:r>
          </w:p>
        </w:tc>
        <w:tc>
          <w:tcPr>
            <w:tcW w:type="dxa" w:w="29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Finding</w:t>
            </w:r>
          </w:p>
        </w:tc>
        <w:tc>
          <w:tcPr>
            <w:tcW w:type="dxa" w:w="28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Pharma impact</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C-01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Secrets</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.env</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 real OpenAI API key (sk-proj-...) is committed to .env. The .gitignore does not exclude .env.</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Token theft, cost abuse, data exfiltration. Immediate rotation and history purge required. Disqualifying for any vendor security review.</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C-02</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Secrets</w:t>
            </w:r>
          </w:p>
        </w:tc>
        <w:tc>
          <w:tcPr>
            <w:tcW w:type="dxa" w:w="1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app/core/config.py</w:t>
            </w:r>
          </w:p>
        </w:tc>
        <w:tc>
          <w:tcPr>
            <w:tcW w:type="dxa" w:w="2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JWT SECRET_KEY default is the literal string change-me-in-production; .env value is change_this_unsafe_secret.</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JWT forgery; user impersonation; trivial bypass.</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C-03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Auth</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app/auth/factory.py</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Auth mode defaults to none; if AUTH_MODE is unset, all endpoints are accessible without credentials.</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identity, no audit subject. Direct breach of 21 CFR Part 11 access-control requirement.</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C-04</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w:t>
            </w:r>
          </w:p>
        </w:tc>
        <w:tc>
          <w:tcPr>
            <w:tcW w:type="dxa" w:w="1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app/services/audit_service.py:72-77</w:t>
            </w:r>
          </w:p>
        </w:tc>
        <w:tc>
          <w:tcPr>
            <w:tcW w:type="dxa" w:w="2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Hash chain seeds with a hardcoded GENESIS_HASH and computes hash(previous_hash + payload_json) by string concatenation, no domain separator. Different payload splits collide.</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Tamper-evidence claim collapses under expert review. Fails 21 CFR Part 11 integrity testing.</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C-05</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app/agents/graph.py:149</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Timestamp formatted via Formatter.formatTime() at module-import time, not per event. Audit entries share the same timestamp.</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Temporal traceability broken; e-signature time would be wrong; Part 11 audit-trail requirement fails.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C-06</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Migrations</w:t>
            </w:r>
          </w:p>
        </w:tc>
        <w:tc>
          <w:tcPr>
            <w:tcW w:type="dxa" w:w="1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alembic/versions/430291da76c3_add_models_pgvector_audit.py</w:t>
            </w:r>
          </w:p>
        </w:tc>
        <w:tc>
          <w:tcPr>
            <w:tcW w:type="dxa" w:w="2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All ~80 tables delivered in one mega-revision. No prior history, no downgrade path, no traceable schema evolution.</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Violates GAMP 5 traceability of changes; rollbacks become forensic exercises; CSV documentation impossible.</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C-07</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Concurrency</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app/services/resilience.py:52-56</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Circuit breaker stores state in class-level globals with no locks and no shared store. Multi-worker (uvicorn –workers &gt; 1) and Kubernetes deployments each see their own circuit.</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Cascade failures pass through; SLA promises unmeetable in production.</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C-08</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Concurrency</w:t>
            </w:r>
          </w:p>
        </w:tc>
        <w:tc>
          <w:tcPr>
            <w:tcW w:type="dxa" w:w="1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app/services/quality_gate.py:32-61</w:t>
            </w:r>
          </w:p>
        </w:tc>
        <w:tc>
          <w:tcPr>
            <w:tcW w:type="dxa" w:w="2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QualityGateService is a lazily instantiated singleton; first call mutates language-pack state; concurrent requests race.</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Same segment can produce different defects on retry. Audit trail inconsistent. Validation impossible.</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C-09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Data integrity</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app/models/models.py</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AuditRecord foreign key points to translation_jobs.id; TranslationJobQueue.job_id is a String UUID. Mismatch in type and key.</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Orphaned audit rows; foreign-key constraints not enforceable in PostgreSQL.</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C-10</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Data integrity</w:t>
            </w:r>
          </w:p>
        </w:tc>
        <w:tc>
          <w:tcPr>
            <w:tcW w:type="dxa" w:w="1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all models</w:t>
            </w:r>
          </w:p>
        </w:tc>
        <w:tc>
          <w:tcPr>
            <w:tcW w:type="dxa" w:w="2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soft-delete or is_deleted flags anywhere. Hard deletes cascade or orphan referenced rows.</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 trail references non-existent objects after deletes; immutability principle violated; inadmissible under GxP.</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C-11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Front-of-system</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app/api/v1/translations.py:54</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Document segmentation is text.split('.') — naive period split.</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SmPCs, PILs and CTD modules with tables, lists and abbreviations are mangled at ingestion. Translations misalign. Regulatory rejection.</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C-12</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PII / DLP</w:t>
            </w:r>
          </w:p>
        </w:tc>
        <w:tc>
          <w:tcPr>
            <w:tcW w:type="dxa" w:w="1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app/services/pii_service.py</w:t>
            </w:r>
          </w:p>
        </w:tc>
        <w:tc>
          <w:tcPr>
            <w:tcW w:type="dxa" w:w="2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Mask / unmask via sequential regex passes. Patterns interfere; tokens overlap; unmask occasionally fails to restore.</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Either over-masks valid clinical content or under-masks PHI. Both are HIPAA / GDPR exposures.</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C-13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Learning loop</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app/services/learning_service.py:84-88</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Rules with confidence ≥ 0.90 are auto-approved to ACTIVE without human-in-the-loop review or signed promotion.</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Silently wrong rules propagate across all future jobs; root cause untraceable; reverse of regulator expectations.</w:t>
            </w:r>
          </w:p>
        </w:tc>
      </w:tr>
    </w:tbl>
    <w:p>
      <w:pPr>
        <w:pStyle w:val="Heading2"/>
        <w:spacing w:after="120" w:before="240"/>
      </w:pPr>
      <w:r>
        <w:rPr>
          <w:rFonts w:ascii="Arial" w:cs="Arial" w:eastAsia="Arial" w:hAnsi="Arial"/>
          <w:b/>
          <w:bCs/>
          <w:color w:val="1F4E79"/>
        </w:rPr>
        <w:t xml:space="preserve">3.3 High-severity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100"/>
        <w:gridCol w:w="55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ID</w:t>
            </w:r>
          </w:p>
        </w:tc>
        <w:tc>
          <w:tcPr>
            <w:tcW w:type="dxa" w:w="11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Area</w:t>
            </w:r>
          </w:p>
        </w:tc>
        <w:tc>
          <w:tcPr>
            <w:tcW w:type="dxa" w:w="21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File</w:t>
            </w:r>
          </w:p>
        </w:tc>
        <w:tc>
          <w:tcPr>
            <w:tcW w:type="dxa" w:w="55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Finding</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H-01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Auth</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app/auth/dependencies.py:34-39</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401 response missing structured WWW-Authenticate header per RFC 6750 / OAuth 2.0; clients cannot distinguish error classes.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H-02</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Auth</w:t>
            </w:r>
          </w:p>
        </w:tc>
        <w:tc>
          <w:tcPr>
            <w:tcW w:type="dxa" w:w="2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app/auth/factory.py</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OIDC provider is a stub. oidc_client_secret stored as plain config string. No vault or KMS integration.</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H-03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Database</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app/core/database.py:83-91</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Table-creation loop swallows pgvector failures, silently skipping embedding columns.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H-04</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Database</w:t>
            </w:r>
          </w:p>
        </w:tc>
        <w:tc>
          <w:tcPr>
            <w:tcW w:type="dxa" w:w="2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app/services/db_service.py:74-149</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get_constraints() opens new sessions inside a loop and skips close on early returns. Connection-pool leak.</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H-05</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Database</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app/services/db_service.py:93-102</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Glossary terms fetched per glossary without join; classic N+1.</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H-06</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w:t>
            </w:r>
          </w:p>
        </w:tc>
        <w:tc>
          <w:tcPr>
            <w:tcW w:type="dxa" w:w="2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app/services/audit_service.py:106</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If audit creation fails, the exception is logged and swallowed in callers. The translation continues without audit.</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H-07</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Agent</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app/agents/graph.py:86-96</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Document status update wrapped in try/except that only logs warning; if DB fails, document stuck in PROCESSING forever.</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H-08</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Agent</w:t>
            </w:r>
          </w:p>
        </w:tc>
        <w:tc>
          <w:tcPr>
            <w:tcW w:type="dxa" w:w="2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app/agents/graph.py:432</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Safety regression detection sets iteration_count = 999 as a sentinel — fragile; couples control flow to magic numbers.</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H-09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Agent</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app/agents/graph.py:479</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Bare print() in async refine path; mixes stdout with structured logging.</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H-10</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Quality gate</w:t>
            </w:r>
          </w:p>
        </w:tc>
        <w:tc>
          <w:tcPr>
            <w:tcW w:type="dxa" w:w="2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app/services/quality_gate.py:406-427</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Regression compare assumes history non-empty; index error possible on first run.</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H-11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Multi-tenancy</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app/models/models.py</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TranslationRule has no organization_id foreign key. Black Book rules are organisation-scoped only by code convention.</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H-12</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Multi-tenancy</w:t>
            </w:r>
          </w:p>
        </w:tc>
        <w:tc>
          <w:tcPr>
            <w:tcW w:type="dxa" w:w="2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all queries</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row-level security or tenant filter middleware. organization_id columns exist but are not enforced.</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H-13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Resilience</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app/services/observability.py:13-34</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Metrics in a global dict; not Prometheus-exported, not thread-safe, lost on restart.</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H-14</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Resilience</w:t>
            </w:r>
          </w:p>
        </w:tc>
        <w:tc>
          <w:tcPr>
            <w:tcW w:type="dxa" w:w="2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app/services/queue_service.py</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dead-letter queue, no idempotency keys on job submission, no exactly-once semantics.</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H-15</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Tracing</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OTEL imports present</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OpenTelemetry SDK imported but no spans wired across LangGraph nodes; tracing is decorative.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H-16</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API contract</w:t>
            </w:r>
          </w:p>
        </w:tc>
        <w:tc>
          <w:tcPr>
            <w:tcW w:type="dxa" w:w="2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app/api/v1/translations.py</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Plaintext-only input; no PDF/DOCX endpoint; metadata (font, structure, tables) lost.</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H-17</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Test data</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tests/</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test_rbac.db, test_transmax.db checked into the repo; tests use file-based SQLite without isolation.</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H-18</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Tests</w:t>
            </w:r>
          </w:p>
        </w:tc>
        <w:tc>
          <w:tcPr>
            <w:tcW w:type="dxa" w:w="2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tests/test_golden_path_e2e.py</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Hard-coded http://localhost:8001 URLs and a fixed 60-second timeout; flaky in CI.</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H-19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Validation</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app/services/learning_service.py</w:t>
            </w:r>
          </w:p>
        </w:tc>
        <w:tc>
          <w:tcPr>
            <w:tcW w:type="dxa" w:w="5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Promotion of learnt rules has no audit trail of approver identity, timestamp or signature.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H-20</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Validation</w:t>
            </w:r>
          </w:p>
        </w:tc>
        <w:tc>
          <w:tcPr>
            <w:tcW w:type="dxa" w:w="2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app/core/regulatory_profiles.py</w:t>
            </w:r>
          </w:p>
        </w:tc>
        <w:tc>
          <w:tcPr>
            <w:tcW w:type="dxa" w:w="55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Profiles list mandatory headings (EMA SmPC sections 1-6) but there is no validator that confirms a translated document contains them.</w:t>
            </w:r>
          </w:p>
        </w:tc>
      </w:tr>
    </w:tbl>
    <w:p>
      <w:pPr>
        <w:pStyle w:val="Heading2"/>
        <w:spacing w:after="120" w:before="240"/>
      </w:pPr>
      <w:r>
        <w:rPr>
          <w:rFonts w:ascii="Arial" w:cs="Arial" w:eastAsia="Arial" w:hAnsi="Arial"/>
          <w:b/>
          <w:bCs/>
          <w:color w:val="1F4E79"/>
        </w:rPr>
        <w:t xml:space="preserve">3.4 Medium and low findings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ID</w:t>
            </w:r>
          </w:p>
        </w:tc>
        <w:tc>
          <w:tcPr>
            <w:tcW w:type="dxa" w:w="24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File</w:t>
            </w:r>
          </w:p>
        </w:tc>
        <w:tc>
          <w:tcPr>
            <w:tcW w:type="dxa" w:w="63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Finding</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M-01</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app/api/v1/translations.py:52-62</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file-type sniffing, no virus scanning, no maximum payload size enforcement on text ingestion.</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M-02</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app/services/json_parser.py</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Best-effort LLM-output JSON parsing; failures fall through to a default that masks malformed responses.</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M-03</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app/agents/prompts.py</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Prompts are inline string constants; no versioning, no prompt-registry; difficult to A/B test or audit.</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M-04</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app/agents/nodes/translation_engine.py</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Token / cost controls absent; no per-tenant or per-job spend cap; vendor-lock-in risk.</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M-05</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app/services/llm.py</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Provider abstraction is thin; no model-card metadata, no temperature governance, no per-locale model selection.</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M-06</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app/models/models.py JobConfigSnapshot</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Config stored as opaque JSON blob with no schema-version field; migration of older blobs not supported.</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M-07</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app/core/regulatory_profiles.py</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Profiles do not encode language-specific regulatory rules (German noun capitalisation, Japanese counters, Arabic RTL).</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M-08</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app/main.py</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CORS open to *. No CSP, no HSTS, no Trusted-Types header injection.</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M-09</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app/services/pdf_ingestion.py</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pypdf-only ingestion; no OCR, no table extraction, no figure handling. Real SmPC PDFs will fail silently.</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M-10</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app/services/docx_ingestion.py</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Style and tracked-changes preservation not handled; reviewer changes will not round-trip cleanly.</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M-11</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app/services/document_export.py</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Export pipeline is stub; no PDF/A-1b output; no embedded fonts; no signature panel.</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M-12</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app/services/observability.py</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structured-log schema; logs not redacted; PII could appear in logs.</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L-01</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many files</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Mixed typing styles (List[Dict[str,Any]] vs list[Any]); mypy not run in CI.</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L-02</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repo root</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30+ debug/log artefacts (backend_debug.log, debug_audit.txt, log_safe.txt, etc.) committed to the repo.</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L-03</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Dockerfile</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Single-stage image, runs as root, no non-root user, no healthcheck, no signed image attestation.</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L-04</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docker-compose.yml</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Local-only; no production-grade compose, no secrets-via-vault, no migration step on boot.</w:t>
            </w:r>
          </w:p>
        </w:tc>
      </w:tr>
    </w:tbl>
    <w:p>
      <w:pPr>
        <w:pStyle w:val="Heading2"/>
        <w:spacing w:after="120" w:before="240"/>
      </w:pPr>
      <w:r>
        <w:rPr>
          <w:rFonts w:ascii="Arial" w:cs="Arial" w:eastAsia="Arial" w:hAnsi="Arial"/>
          <w:b/>
          <w:bCs/>
          <w:color w:val="1F4E79"/>
        </w:rPr>
        <w:t xml:space="preserve">3.5 Top 10 critical risks if shipped tomorrow</w:t>
      </w:r>
    </w:p>
    <w:p>
      <w:pPr>
        <w:pStyle w:val="ListParagraph"/>
        <w:numPr>
          <w:ilvl w:val="0"/>
          <w:numId w:val="3"/>
        </w:numPr>
        <w:spacing w:after="40" w:before="40" w:line="280"/>
      </w:pPr>
      <w:r>
        <w:rPr>
          <w:rFonts w:ascii="Arial" w:cs="Arial" w:eastAsia="Arial" w:hAnsi="Arial"/>
          <w:sz w:val="22"/>
          <w:szCs w:val="22"/>
        </w:rPr>
        <w:t xml:space="preserve">Hardcoded API keys in committed .env — disqualifying for security review; immediate rotation and history purge.</w:t>
      </w:r>
    </w:p>
    <w:p>
      <w:pPr>
        <w:pStyle w:val="ListParagraph"/>
        <w:numPr>
          <w:ilvl w:val="0"/>
          <w:numId w:val="3"/>
        </w:numPr>
        <w:spacing w:after="40" w:before="40" w:line="280"/>
      </w:pPr>
      <w:r>
        <w:rPr>
          <w:rFonts w:ascii="Arial" w:cs="Arial" w:eastAsia="Arial" w:hAnsi="Arial"/>
          <w:sz w:val="22"/>
          <w:szCs w:val="22"/>
        </w:rPr>
        <w:t xml:space="preserve">Authentication off by default — endpoints openly accessible; no audit subject; Part 11 access-control fails.</w:t>
      </w:r>
    </w:p>
    <w:p>
      <w:pPr>
        <w:pStyle w:val="ListParagraph"/>
        <w:numPr>
          <w:ilvl w:val="0"/>
          <w:numId w:val="3"/>
        </w:numPr>
        <w:spacing w:after="40" w:before="40" w:line="280"/>
      </w:pPr>
      <w:r>
        <w:rPr>
          <w:rFonts w:ascii="Arial" w:cs="Arial" w:eastAsia="Arial" w:hAnsi="Arial"/>
          <w:sz w:val="22"/>
          <w:szCs w:val="22"/>
        </w:rPr>
        <w:t xml:space="preserve">Single mega-migration with no history — rollback impossible; GAMP 5 traceability fails.</w:t>
      </w:r>
    </w:p>
    <w:p>
      <w:pPr>
        <w:pStyle w:val="ListParagraph"/>
        <w:numPr>
          <w:ilvl w:val="0"/>
          <w:numId w:val="3"/>
        </w:numPr>
        <w:spacing w:after="40" w:before="40" w:line="280"/>
      </w:pPr>
      <w:r>
        <w:rPr>
          <w:rFonts w:ascii="Arial" w:cs="Arial" w:eastAsia="Arial" w:hAnsi="Arial"/>
          <w:sz w:val="22"/>
          <w:szCs w:val="22"/>
        </w:rPr>
        <w:t xml:space="preserve">Audit chain weakness (concatenation hashing, hardcoded genesis, module-load timestamps) — tamper evidence unreliable.</w:t>
      </w:r>
    </w:p>
    <w:p>
      <w:pPr>
        <w:pStyle w:val="ListParagraph"/>
        <w:numPr>
          <w:ilvl w:val="0"/>
          <w:numId w:val="3"/>
        </w:numPr>
        <w:spacing w:after="40" w:before="40" w:line="280"/>
      </w:pPr>
      <w:r>
        <w:rPr>
          <w:rFonts w:ascii="Arial" w:cs="Arial" w:eastAsia="Arial" w:hAnsi="Arial"/>
          <w:sz w:val="22"/>
          <w:szCs w:val="22"/>
        </w:rPr>
        <w:t xml:space="preserve">Circuit breaker not thread-safe and not distributed — silent cascade failures under load.</w:t>
      </w:r>
    </w:p>
    <w:p>
      <w:pPr>
        <w:pStyle w:val="ListParagraph"/>
        <w:numPr>
          <w:ilvl w:val="0"/>
          <w:numId w:val="3"/>
        </w:numPr>
        <w:spacing w:after="40" w:before="40" w:line="280"/>
      </w:pPr>
      <w:r>
        <w:rPr>
          <w:rFonts w:ascii="Arial" w:cs="Arial" w:eastAsia="Arial" w:hAnsi="Arial"/>
          <w:sz w:val="22"/>
          <w:szCs w:val="22"/>
        </w:rPr>
        <w:t xml:space="preserve">No soft deletes — audit references vanish; immutability principle violated.</w:t>
      </w:r>
    </w:p>
    <w:p>
      <w:pPr>
        <w:pStyle w:val="ListParagraph"/>
        <w:numPr>
          <w:ilvl w:val="0"/>
          <w:numId w:val="3"/>
        </w:numPr>
        <w:spacing w:after="40" w:before="40" w:line="280"/>
      </w:pPr>
      <w:r>
        <w:rPr>
          <w:rFonts w:ascii="Arial" w:cs="Arial" w:eastAsia="Arial" w:hAnsi="Arial"/>
          <w:sz w:val="22"/>
          <w:szCs w:val="22"/>
        </w:rPr>
        <w:t xml:space="preserve">Naive period-based segmentation — pharma documents (SmPC, PIL, CTD) corrupted at ingestion.</w:t>
      </w:r>
    </w:p>
    <w:p>
      <w:pPr>
        <w:pStyle w:val="ListParagraph"/>
        <w:numPr>
          <w:ilvl w:val="0"/>
          <w:numId w:val="3"/>
        </w:numPr>
        <w:spacing w:after="40" w:before="40" w:line="280"/>
      </w:pPr>
      <w:r>
        <w:rPr>
          <w:rFonts w:ascii="Arial" w:cs="Arial" w:eastAsia="Arial" w:hAnsi="Arial"/>
          <w:sz w:val="22"/>
          <w:szCs w:val="22"/>
        </w:rPr>
        <w:t xml:space="preserve">Quality-gate singleton race condition — non-deterministic defects under concurrency.</w:t>
      </w:r>
    </w:p>
    <w:p>
      <w:pPr>
        <w:pStyle w:val="ListParagraph"/>
        <w:numPr>
          <w:ilvl w:val="0"/>
          <w:numId w:val="3"/>
        </w:numPr>
        <w:spacing w:after="40" w:before="40" w:line="280"/>
      </w:pPr>
      <w:r>
        <w:rPr>
          <w:rFonts w:ascii="Arial" w:cs="Arial" w:eastAsia="Arial" w:hAnsi="Arial"/>
          <w:sz w:val="22"/>
          <w:szCs w:val="22"/>
        </w:rPr>
        <w:t xml:space="preserve">PII service regex-only and sequential — over- or under-masking; HIPAA / GDPR exposure.</w:t>
      </w:r>
    </w:p>
    <w:p>
      <w:pPr>
        <w:pStyle w:val="ListParagraph"/>
        <w:numPr>
          <w:ilvl w:val="0"/>
          <w:numId w:val="3"/>
        </w:numPr>
        <w:spacing w:after="40" w:before="40" w:line="280"/>
      </w:pPr>
      <w:r>
        <w:rPr>
          <w:rFonts w:ascii="Arial" w:cs="Arial" w:eastAsia="Arial" w:hAnsi="Arial"/>
          <w:sz w:val="22"/>
          <w:szCs w:val="22"/>
        </w:rPr>
        <w:t xml:space="preserve">Learning service auto-approves rules at 0.90 confidence — silent systemic mistranslation propagation.</w:t>
      </w:r>
    </w:p>
    <w:p>
      <w:pPr>
        <w:pStyle w:val="Heading2"/>
        <w:spacing w:after="120" w:before="240"/>
      </w:pPr>
      <w:r>
        <w:rPr>
          <w:rFonts w:ascii="Arial" w:cs="Arial" w:eastAsia="Arial" w:hAnsi="Arial"/>
          <w:b/>
          <w:bCs/>
          <w:color w:val="1F4E79"/>
        </w:rPr>
        <w:t xml:space="preserve">3.6 Test-suite assessment</w:t>
      </w:r>
    </w:p>
    <w:p>
      <w:pPr>
        <w:spacing w:after="100" w:before="80" w:line="300"/>
        <w:jc w:val="left"/>
      </w:pPr>
      <w:r>
        <w:rPr>
          <w:rFonts w:ascii="Arial" w:cs="Arial" w:eastAsia="Arial" w:hAnsi="Arial"/>
          <w:sz w:val="22"/>
          <w:szCs w:val="22"/>
        </w:rPr>
        <w:t xml:space="preserve">The repository contains 102 test files spanning golden-path end-to-end, hash-chain tamper detection, RBAC enforcement, vector-store mocks, resilience and dead-letter behaviour, and several non-functional throughput / latency captures. The breadth is unusually good for a prototype.</w:t>
      </w:r>
    </w:p>
    <w:p>
      <w:pPr>
        <w:spacing w:after="100" w:before="80" w:line="300"/>
        <w:jc w:val="left"/>
      </w:pPr>
      <w:r>
        <w:rPr>
          <w:rFonts w:ascii="Arial" w:cs="Arial" w:eastAsia="Arial" w:hAnsi="Arial"/>
          <w:sz w:val="22"/>
          <w:szCs w:val="22"/>
        </w:rPr>
        <w:t xml:space="preserve">The depth, however, is uneven. There are no real-world pharma documents in the corpus (SmPC, PIL, CTD, ICF, CSR, IFU); the tests use toy strings such as “Take 10 mg.” There are no tests asserting EMA QRD section presence, EDQM standard-term enforcement or IDMP mappings. There are no fuzzing or input-validation tests on the API. There are no concurrent-request tests, no LLM-rate-limit tests, and no load tests against a pgvector-enabled Postgres. Tests use file-based SQLite (test_rbac.db, test_transmax.db) committed to the repo, leading to cross-test pollution and state leakage. Critically, there are no security tests — no JWT-tamper tests, no CSRF, no injection, no PII-in-logs assertion. To pass a regulator audit, transmax will need a per-release validation suite tagged to user requirements and acceptance criteria, with traceability into IQ / OQ / PQ documents.</w:t>
      </w:r>
    </w:p>
    <w:p>
      <w:pPr>
        <w:pStyle w:val="Heading1"/>
        <w:pageBreakBefore/>
        <w:spacing w:after="200" w:before="240"/>
      </w:pPr>
      <w:r>
        <w:rPr>
          <w:rFonts w:ascii="Arial" w:cs="Arial" w:eastAsia="Arial" w:hAnsi="Arial"/>
          <w:b/>
          <w:bCs/>
          <w:color w:val="1F4E79"/>
        </w:rPr>
        <w:t xml:space="preserve">4. Frontend Code Review</w:t>
      </w:r>
    </w:p>
    <w:p>
      <w:pPr>
        <w:spacing w:after="100" w:before="80" w:line="300"/>
        <w:jc w:val="left"/>
      </w:pPr>
      <w:r>
        <w:rPr>
          <w:rFonts w:ascii="Arial" w:cs="Arial" w:eastAsia="Arial" w:hAnsi="Arial"/>
          <w:sz w:val="22"/>
          <w:szCs w:val="22"/>
        </w:rPr>
        <w:t xml:space="preserve">The frontend is a Next.js 16 App Router application written in TypeScript and styled with Tailwind. It uses Radix primitives for popovers, Tiptap with its table extensions for the rich-text editor, framer-motion for transitions, and sonner for toasts. There is no state-management library, no data-fetching library and no test framework. Approximately 25 routes and 20 components are present.</w:t>
      </w:r>
    </w:p>
    <w:p>
      <w:pPr>
        <w:pStyle w:val="Heading2"/>
        <w:spacing w:after="120" w:before="240"/>
      </w:pPr>
      <w:r>
        <w:rPr>
          <w:rFonts w:ascii="Arial" w:cs="Arial" w:eastAsia="Arial" w:hAnsi="Arial"/>
          <w:b/>
          <w:bCs/>
          <w:color w:val="1F4E79"/>
        </w:rPr>
        <w:t xml:space="preserve">4.1 Strengths</w:t>
      </w:r>
    </w:p>
    <w:p>
      <w:pPr>
        <w:pStyle w:val="ListParagraph"/>
        <w:numPr>
          <w:ilvl w:val="0"/>
          <w:numId w:val="2"/>
        </w:numPr>
        <w:spacing w:after="40" w:before="40" w:line="280"/>
      </w:pPr>
      <w:r>
        <w:rPr>
          <w:rFonts w:ascii="Arial" w:cs="Arial" w:eastAsia="Arial" w:hAnsi="Arial"/>
          <w:sz w:val="22"/>
          <w:szCs w:val="22"/>
        </w:rPr>
        <w:t xml:space="preserve">Clean auth context in lib/auth.tsx with token-refresh and a context-driven user object.</w:t>
      </w:r>
    </w:p>
    <w:p>
      <w:pPr>
        <w:pStyle w:val="ListParagraph"/>
        <w:numPr>
          <w:ilvl w:val="0"/>
          <w:numId w:val="2"/>
        </w:numPr>
        <w:spacing w:after="40" w:before="40" w:line="280"/>
      </w:pPr>
      <w:r>
        <w:rPr>
          <w:rFonts w:ascii="Arial" w:cs="Arial" w:eastAsia="Arial" w:hAnsi="Arial"/>
          <w:sz w:val="22"/>
          <w:szCs w:val="22"/>
        </w:rPr>
        <w:t xml:space="preserve">Well-organised API client singleton in lib/api.ts with timeout, abort signals, auth-header injection, 401 redirection and coverage of documents, segments, jobs, audit, knowledge, tools and translate endpoints.</w:t>
      </w:r>
    </w:p>
    <w:p>
      <w:pPr>
        <w:pStyle w:val="ListParagraph"/>
        <w:numPr>
          <w:ilvl w:val="0"/>
          <w:numId w:val="2"/>
        </w:numPr>
        <w:spacing w:after="40" w:before="40" w:line="280"/>
      </w:pPr>
      <w:r>
        <w:rPr>
          <w:rFonts w:ascii="Arial" w:cs="Arial" w:eastAsia="Arial" w:hAnsi="Arial"/>
          <w:sz w:val="22"/>
          <w:szCs w:val="22"/>
        </w:rPr>
        <w:t xml:space="preserve">Clear permission mapping in lib/permissions.ts mirrored client-side with a RequireRole component for UI-level gating.</w:t>
      </w:r>
    </w:p>
    <w:p>
      <w:pPr>
        <w:pStyle w:val="ListParagraph"/>
        <w:numPr>
          <w:ilvl w:val="0"/>
          <w:numId w:val="2"/>
        </w:numPr>
        <w:spacing w:after="40" w:before="40" w:line="280"/>
      </w:pPr>
      <w:r>
        <w:rPr>
          <w:rFonts w:ascii="Arial" w:cs="Arial" w:eastAsia="Arial" w:hAnsi="Arial"/>
          <w:sz w:val="22"/>
          <w:szCs w:val="22"/>
        </w:rPr>
        <w:t xml:space="preserve">Consistent design tokens in tailwind.config.ts (HSL variables, dark mode, medical green and alert red tokens).</w:t>
      </w:r>
    </w:p>
    <w:p>
      <w:pPr>
        <w:pStyle w:val="ListParagraph"/>
        <w:numPr>
          <w:ilvl w:val="0"/>
          <w:numId w:val="2"/>
        </w:numPr>
        <w:spacing w:after="40" w:before="40" w:line="280"/>
      </w:pPr>
      <w:r>
        <w:rPr>
          <w:rFonts w:ascii="Arial" w:cs="Arial" w:eastAsia="Arial" w:hAnsi="Arial"/>
          <w:sz w:val="22"/>
          <w:szCs w:val="22"/>
        </w:rPr>
        <w:t xml:space="preserve">Compliance-aware surfaces (AuditTimeline, ConfidenceMeter, QualityDashboard) and a published /design-system route showcasing primitives.</w:t>
      </w:r>
    </w:p>
    <w:p>
      <w:pPr>
        <w:pStyle w:val="ListParagraph"/>
        <w:numPr>
          <w:ilvl w:val="0"/>
          <w:numId w:val="2"/>
        </w:numPr>
        <w:spacing w:after="40" w:before="40" w:line="280"/>
      </w:pPr>
      <w:r>
        <w:rPr>
          <w:rFonts w:ascii="Arial" w:cs="Arial" w:eastAsia="Arial" w:hAnsi="Arial"/>
          <w:sz w:val="22"/>
          <w:szCs w:val="22"/>
        </w:rPr>
        <w:t xml:space="preserve">Tiptap-based RichTextEditor with table support and reasonable scoping in component CSS.</w:t>
      </w:r>
    </w:p>
    <w:p>
      <w:pPr>
        <w:pStyle w:val="Heading2"/>
        <w:spacing w:after="120" w:before="240"/>
      </w:pPr>
      <w:r>
        <w:rPr>
          <w:rFonts w:ascii="Arial" w:cs="Arial" w:eastAsia="Arial" w:hAnsi="Arial"/>
          <w:b/>
          <w:bCs/>
          <w:color w:val="1F4E79"/>
        </w:rPr>
        <w:t xml:space="preserve">4.2 Critical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900"/>
        <w:gridCol w:w="2900"/>
        <w:gridCol w:w="28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ID</w:t>
            </w:r>
          </w:p>
        </w:tc>
        <w:tc>
          <w:tcPr>
            <w:tcW w:type="dxa" w:w="11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Area</w:t>
            </w:r>
          </w:p>
        </w:tc>
        <w:tc>
          <w:tcPr>
            <w:tcW w:type="dxa" w:w="19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File</w:t>
            </w:r>
          </w:p>
        </w:tc>
        <w:tc>
          <w:tcPr>
            <w:tcW w:type="dxa" w:w="29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Finding</w:t>
            </w:r>
          </w:p>
        </w:tc>
        <w:tc>
          <w:tcPr>
            <w:tcW w:type="dxa" w:w="28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Pharma impact</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F-C01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Auth fallback</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lib/auth.tsx:86-96</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On backend failure the client injects a hardcoded admin user (admin@transmax.local). No visible error state; reviewers may unknowingly use admin privileges.</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Unauthorised approval of regulated content; broken audit subject; impersonation under network failure.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F-C02</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Auth gating</w:t>
            </w:r>
          </w:p>
        </w:tc>
        <w:tc>
          <w:tcPr>
            <w:tcW w:type="dxa" w:w="1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middleware.ts:39</w:t>
            </w:r>
          </w:p>
        </w:tc>
        <w:tc>
          <w:tcPr>
            <w:tcW w:type="dxa" w:w="2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NEXT_PUBLIC_AUTH_MODE defaults to none; if env unset in production, every protected route is publicly reachable client-side.</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Protected screens fall open at the edge; backend remains the only gate.</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F-C03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Mock fallback</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app/review/[jobId]/page.tsx:146-177</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On API 404 / error the review screen silently substitutes hardcoded mock translations (including a deliberate negation flip example).</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Reviewers can sign off mock translations as real; safety-critical defects (e.g. negation) reach end-users.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F-C04</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State / polling</w:t>
            </w:r>
          </w:p>
        </w:tc>
        <w:tc>
          <w:tcPr>
            <w:tcW w:type="dxa" w:w="1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app/document/[docId]/page.tsx:112-118</w:t>
            </w:r>
          </w:p>
        </w:tc>
        <w:tc>
          <w:tcPr>
            <w:tcW w:type="dxa" w:w="2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Polling interval set unconditionally; dependency array does not include translation status. If a job hangs, polling continues forever.</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Reviewer workstation churn; backend overloaded; long jobs never complete in UI.</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F-C05</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 display</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components/compliance/AuditTimeline.tsx:30-40</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 hashes shown alongside events but not verified client-side against the server. The visible chain can be reordered without integrity feedback.</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Compliance theatre: claim of immutability not borne out by UI; raises concerns at a regulator readout.</w:t>
            </w:r>
          </w:p>
        </w:tc>
      </w:tr>
    </w:tbl>
    <w:p>
      <w:pPr>
        <w:pStyle w:val="Heading2"/>
        <w:spacing w:after="120" w:before="240"/>
      </w:pPr>
      <w:r>
        <w:rPr>
          <w:rFonts w:ascii="Arial" w:cs="Arial" w:eastAsia="Arial" w:hAnsi="Arial"/>
          <w:b/>
          <w:bCs/>
          <w:color w:val="1F4E79"/>
        </w:rPr>
        <w:t xml:space="preserve">4.3 High and medium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ID</w:t>
            </w:r>
          </w:p>
        </w:tc>
        <w:tc>
          <w:tcPr>
            <w:tcW w:type="dxa" w:w="24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File</w:t>
            </w:r>
          </w:p>
        </w:tc>
        <w:tc>
          <w:tcPr>
            <w:tcW w:type="dxa" w:w="63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Finding</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F-H01</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lib/api.ts:186-191</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401 handler does a hard window.location.href reload; loses form state and scroll; no toast; no graceful logout.</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F-H02</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lib/api.ts:6, 144-147</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Auth token read by parsing document.cookie regex. No httpOnly enforcement assumed; XSS could exfiltrate token.</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F-H03</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components/ui/RichTextEditor.tsx:72-92</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Tiptap getHTML() output not sanitised before use; segment text from untrusted sources could re-inject script.</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F-H04</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app/new/page.tsx:217</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File upload simulated with new File(['foo'], 'protocol_v1.docx'); no real validation, size cap or AV trigger.</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F-H05</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lib/auth.tsx:46-49</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Cookie set with SameSite=Lax; CSRF possible from cross-origin POSTs; no anti-forgery token in API client.</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F-H06</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app/document/[docId]/page.tsx:243-267</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Hundreds of segments rendered without virtualisation; long SmPC documents freeze the page.</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F-H07</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build_err.log</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tailwindcss-animate loaded via require() in tailwind.config.ts; Turbopack and ESLint reject this. Build fails.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F-M01</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lib/auth.tsx:72-82</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autoLoginNoAuth silently re-creates an admin session if AUTH_MODE=none — even after explicit logout.</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F-M02</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app/review/[jobId]/page.tsx:206-210</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Polling fixed at 3 s with no backoff or jitter; risk of QPS storm at scale.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F-M03</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app/review/[jobId]/page.tsx:227-235</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Reviewer edits never POSTed to backend; refresh discards work.</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F-M04</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app/review keyboard</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keyboard shortcuts for accept / reject / next; reviewers forced to mouse.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F-M05</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app/new/page.tsx</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Multi-step wizard state in component, not URL; back-button breaks; refresh resets.</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F-M06</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next.config.ts</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Empty config; no CSP, HSTS, frame-ancestors; nothing security-relevant in headers().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F-L01</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lib/api.ts</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Segment.violations typed as any[]; defeats TypeScript.</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F-L02</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app/document/[docId]/page.tsx</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console.error and console.log left in production code.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F-L03</w:t>
            </w:r>
          </w:p>
        </w:tc>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tsconfig.json</w:t>
            </w:r>
          </w:p>
        </w:tc>
        <w:tc>
          <w:tcPr>
            <w:tcW w:type="dxa" w:w="63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skipLibCheck true; transitive type errors hidden.</w:t>
            </w:r>
          </w:p>
        </w:tc>
      </w:tr>
      <w:tr>
        <w:trPr>
          <w:tblHeader w:val="false"/>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F-L04</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all routes</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Hardcoded English; no next-intl or i18next; no RTL CSS for Arabic / Hebrew users.</w:t>
            </w:r>
          </w:p>
        </w:tc>
      </w:tr>
    </w:tbl>
    <w:p>
      <w:pPr>
        <w:pStyle w:val="Heading2"/>
        <w:spacing w:after="120" w:before="240"/>
      </w:pPr>
      <w:r>
        <w:rPr>
          <w:rFonts w:ascii="Arial" w:cs="Arial" w:eastAsia="Arial" w:hAnsi="Arial"/>
          <w:b/>
          <w:bCs/>
          <w:color w:val="1F4E79"/>
        </w:rPr>
        <w:t xml:space="preserve">4.4 Design-system, accessibility and i18n</w:t>
      </w:r>
    </w:p>
    <w:p>
      <w:pPr>
        <w:spacing w:after="100" w:before="80" w:line="300"/>
      </w:pPr>
      <w:r>
        <w:rPr>
          <w:rFonts w:ascii="Arial" w:cs="Arial" w:eastAsia="Arial" w:hAnsi="Arial"/>
          <w:b/>
          <w:bCs/>
          <w:sz w:val="22"/>
          <w:szCs w:val="22"/>
        </w:rPr>
        <w:t xml:space="preserve">Design system maturity: </w:t>
      </w:r>
      <w:r>
        <w:rPr>
          <w:rFonts w:ascii="Arial" w:cs="Arial" w:eastAsia="Arial" w:hAnsi="Arial"/>
          <w:sz w:val="22"/>
          <w:szCs w:val="22"/>
        </w:rPr>
        <w:t xml:space="preserve">Approximately five out of ten. The token system (HSL variables, dark-mode hooks, medical-green / alert-red accents) is good. The component coverage is half built: button, card, GlassCard and a handful of bespoke primitives are present, but there is no input, no form, no dialog (popover used in its place), no table primitive, no select, no tabs, no tooltip, no breadcrumb. /new uses a light slate-50 theme, /document/[docId] uses a dark slate-950 theme; coherence is poor. There is no Storybook, no design-token documentation file and no shared severity-colour scale for compliance content.</w:t>
      </w:r>
    </w:p>
    <w:p>
      <w:pPr>
        <w:spacing w:after="100" w:before="80" w:line="300"/>
      </w:pPr>
      <w:r>
        <w:rPr>
          <w:rFonts w:ascii="Arial" w:cs="Arial" w:eastAsia="Arial" w:hAnsi="Arial"/>
          <w:b/>
          <w:bCs/>
          <w:sz w:val="22"/>
          <w:szCs w:val="22"/>
        </w:rPr>
        <w:t xml:space="preserve">Accessibility: </w:t>
      </w:r>
      <w:r>
        <w:rPr>
          <w:rFonts w:ascii="Arial" w:cs="Arial" w:eastAsia="Arial" w:hAnsi="Arial"/>
          <w:sz w:val="22"/>
          <w:szCs w:val="22"/>
        </w:rPr>
        <w:t xml:space="preserve">Approximately three out of ten. Keyboard navigation is absent in segment lists; focus-visible rings are inconsistent; ARIA roles missing on custom controls; complex review tables lack proper thead / tbody and scope; colour-only status indicators in a few places fail WCAG AA. A formal axe / WAVE audit will be needed before pharma rollout.</w:t>
      </w:r>
    </w:p>
    <w:p>
      <w:pPr>
        <w:spacing w:after="100" w:before="80" w:line="300"/>
      </w:pPr>
      <w:r>
        <w:rPr>
          <w:rFonts w:ascii="Arial" w:cs="Arial" w:eastAsia="Arial" w:hAnsi="Arial"/>
          <w:b/>
          <w:bCs/>
          <w:sz w:val="22"/>
          <w:szCs w:val="22"/>
        </w:rPr>
        <w:t xml:space="preserve">Internationalisation: </w:t>
      </w:r>
      <w:r>
        <w:rPr>
          <w:rFonts w:ascii="Arial" w:cs="Arial" w:eastAsia="Arial" w:hAnsi="Arial"/>
          <w:sz w:val="22"/>
          <w:szCs w:val="22"/>
        </w:rPr>
        <w:t xml:space="preserve">Approximately zero out of ten — and ironic in a translation product. The UI is hardcoded English; no i18n framework; no RTL support; no language preference per user. For MENA and APAC pharma markets this is blocking.</w:t>
      </w:r>
    </w:p>
    <w:p>
      <w:pPr>
        <w:pStyle w:val="Heading2"/>
        <w:spacing w:after="120" w:before="240"/>
      </w:pPr>
      <w:r>
        <w:rPr>
          <w:rFonts w:ascii="Arial" w:cs="Arial" w:eastAsia="Arial" w:hAnsi="Arial"/>
          <w:b/>
          <w:bCs/>
          <w:color w:val="1F4E79"/>
        </w:rPr>
        <w:t xml:space="preserve">4.5 Build and lint health</w:t>
      </w:r>
    </w:p>
    <w:p>
      <w:pPr>
        <w:spacing w:after="100" w:before="80" w:line="300"/>
      </w:pPr>
      <w:r>
        <w:rPr>
          <w:rFonts w:ascii="Arial" w:cs="Arial" w:eastAsia="Arial" w:hAnsi="Arial"/>
          <w:b/>
          <w:bCs/>
          <w:sz w:val="22"/>
          <w:szCs w:val="22"/>
        </w:rPr>
        <w:t xml:space="preserve">Build: </w:t>
      </w:r>
      <w:r>
        <w:rPr>
          <w:rFonts w:ascii="Arial" w:cs="Arial" w:eastAsia="Arial" w:hAnsi="Arial"/>
          <w:sz w:val="22"/>
          <w:szCs w:val="22"/>
        </w:rPr>
        <w:t xml:space="preserve">Currently failing. tailwind.config.ts loads tailwindcss-animate via CommonJS require(); Turbopack ESM resolution rejects this and the ESLint TypeScript rules forbid require in .ts. Fixing the import is trivial; getting CI green is a prerequisite for any further work.</w:t>
      </w:r>
    </w:p>
    <w:p>
      <w:pPr>
        <w:spacing w:after="100" w:before="80" w:line="300"/>
      </w:pPr>
      <w:r>
        <w:rPr>
          <w:rFonts w:ascii="Arial" w:cs="Arial" w:eastAsia="Arial" w:hAnsi="Arial"/>
          <w:b/>
          <w:bCs/>
          <w:sz w:val="22"/>
          <w:szCs w:val="22"/>
        </w:rPr>
        <w:t xml:space="preserve">Lint: </w:t>
      </w:r>
      <w:r>
        <w:rPr>
          <w:rFonts w:ascii="Arial" w:cs="Arial" w:eastAsia="Arial" w:hAnsi="Arial"/>
          <w:sz w:val="22"/>
          <w:szCs w:val="22"/>
        </w:rPr>
        <w:t xml:space="preserve">Active warnings on unused imports (CheckCircle, file). ESLint not enforced as a CI gate.</w:t>
      </w:r>
    </w:p>
    <w:p>
      <w:pPr>
        <w:spacing w:after="100" w:before="80" w:line="300"/>
      </w:pPr>
      <w:r>
        <w:rPr>
          <w:rFonts w:ascii="Arial" w:cs="Arial" w:eastAsia="Arial" w:hAnsi="Arial"/>
          <w:b/>
          <w:bCs/>
          <w:sz w:val="22"/>
          <w:szCs w:val="22"/>
        </w:rPr>
        <w:t xml:space="preserve">Type strictness: </w:t>
      </w:r>
      <w:r>
        <w:rPr>
          <w:rFonts w:ascii="Arial" w:cs="Arial" w:eastAsia="Arial" w:hAnsi="Arial"/>
          <w:sz w:val="22"/>
          <w:szCs w:val="22"/>
        </w:rPr>
        <w:t xml:space="preserve">tsconfig.json sets strict: true but skipLibCheck: true; noUncheckedIndexedAccess is not enabled. Tightening these is a half-day of work and will surface several real bugs.</w:t>
      </w:r>
    </w:p>
    <w:p>
      <w:pPr>
        <w:pStyle w:val="Heading2"/>
        <w:spacing w:after="120" w:before="240"/>
      </w:pPr>
      <w:r>
        <w:rPr>
          <w:rFonts w:ascii="Arial" w:cs="Arial" w:eastAsia="Arial" w:hAnsi="Arial"/>
          <w:b/>
          <w:bCs/>
          <w:color w:val="1F4E79"/>
        </w:rPr>
        <w:t xml:space="preserve">4.6 Top eight UX / security risks for pharma reviewers</w:t>
      </w:r>
    </w:p>
    <w:p>
      <w:pPr>
        <w:pStyle w:val="ListParagraph"/>
        <w:numPr>
          <w:ilvl w:val="0"/>
          <w:numId w:val="3"/>
        </w:numPr>
        <w:spacing w:after="40" w:before="40" w:line="280"/>
      </w:pPr>
      <w:r>
        <w:rPr>
          <w:rFonts w:ascii="Arial" w:cs="Arial" w:eastAsia="Arial" w:hAnsi="Arial"/>
          <w:sz w:val="22"/>
          <w:szCs w:val="22"/>
        </w:rPr>
        <w:t xml:space="preserve">Mock-data fallback in /review/[jobId] — reviewer signs off on hardcoded mock translations after a backend hiccup.</w:t>
      </w:r>
    </w:p>
    <w:p>
      <w:pPr>
        <w:pStyle w:val="ListParagraph"/>
        <w:numPr>
          <w:ilvl w:val="0"/>
          <w:numId w:val="3"/>
        </w:numPr>
        <w:spacing w:after="40" w:before="40" w:line="280"/>
      </w:pPr>
      <w:r>
        <w:rPr>
          <w:rFonts w:ascii="Arial" w:cs="Arial" w:eastAsia="Arial" w:hAnsi="Arial"/>
          <w:sz w:val="22"/>
          <w:szCs w:val="22"/>
        </w:rPr>
        <w:t xml:space="preserve">Admin-user fallback in lib/auth.tsx — backend down equals everyone-is-admin.</w:t>
      </w:r>
    </w:p>
    <w:p>
      <w:pPr>
        <w:pStyle w:val="ListParagraph"/>
        <w:numPr>
          <w:ilvl w:val="0"/>
          <w:numId w:val="3"/>
        </w:numPr>
        <w:spacing w:after="40" w:before="40" w:line="280"/>
      </w:pPr>
      <w:r>
        <w:rPr>
          <w:rFonts w:ascii="Arial" w:cs="Arial" w:eastAsia="Arial" w:hAnsi="Arial"/>
          <w:sz w:val="22"/>
          <w:szCs w:val="22"/>
        </w:rPr>
        <w:t xml:space="preserve">Cookie / token handling without httpOnly and with SameSite=Lax — XSS plus CSRF surface.</w:t>
      </w:r>
    </w:p>
    <w:p>
      <w:pPr>
        <w:pStyle w:val="ListParagraph"/>
        <w:numPr>
          <w:ilvl w:val="0"/>
          <w:numId w:val="3"/>
        </w:numPr>
        <w:spacing w:after="40" w:before="40" w:line="280"/>
      </w:pPr>
      <w:r>
        <w:rPr>
          <w:rFonts w:ascii="Arial" w:cs="Arial" w:eastAsia="Arial" w:hAnsi="Arial"/>
          <w:sz w:val="22"/>
          <w:szCs w:val="22"/>
        </w:rPr>
        <w:t xml:space="preserve">Audit timeline is visual, not verified — compliance optics without integrity checks.</w:t>
      </w:r>
    </w:p>
    <w:p>
      <w:pPr>
        <w:pStyle w:val="ListParagraph"/>
        <w:numPr>
          <w:ilvl w:val="0"/>
          <w:numId w:val="3"/>
        </w:numPr>
        <w:spacing w:after="40" w:before="40" w:line="280"/>
      </w:pPr>
      <w:r>
        <w:rPr>
          <w:rFonts w:ascii="Arial" w:cs="Arial" w:eastAsia="Arial" w:hAnsi="Arial"/>
          <w:sz w:val="22"/>
          <w:szCs w:val="22"/>
        </w:rPr>
        <w:t xml:space="preserve">Reviewer edits not persisted in /review/[jobId] — silent loss of meaningful work.</w:t>
      </w:r>
    </w:p>
    <w:p>
      <w:pPr>
        <w:pStyle w:val="ListParagraph"/>
        <w:numPr>
          <w:ilvl w:val="0"/>
          <w:numId w:val="3"/>
        </w:numPr>
        <w:spacing w:after="40" w:before="40" w:line="280"/>
      </w:pPr>
      <w:r>
        <w:rPr>
          <w:rFonts w:ascii="Arial" w:cs="Arial" w:eastAsia="Arial" w:hAnsi="Arial"/>
          <w:sz w:val="22"/>
          <w:szCs w:val="22"/>
        </w:rPr>
        <w:t xml:space="preserve">Polling with no backoff — DDoS-like load when scaled to dozens of reviewers.</w:t>
      </w:r>
    </w:p>
    <w:p>
      <w:pPr>
        <w:pStyle w:val="ListParagraph"/>
        <w:numPr>
          <w:ilvl w:val="0"/>
          <w:numId w:val="3"/>
        </w:numPr>
        <w:spacing w:after="40" w:before="40" w:line="280"/>
      </w:pPr>
      <w:r>
        <w:rPr>
          <w:rFonts w:ascii="Arial" w:cs="Arial" w:eastAsia="Arial" w:hAnsi="Arial"/>
          <w:sz w:val="22"/>
          <w:szCs w:val="22"/>
        </w:rPr>
        <w:t xml:space="preserve">File upload simulated, with no AV or size enforcement — easy malware vector once enabled.</w:t>
      </w:r>
    </w:p>
    <w:p>
      <w:pPr>
        <w:pStyle w:val="ListParagraph"/>
        <w:numPr>
          <w:ilvl w:val="0"/>
          <w:numId w:val="3"/>
        </w:numPr>
        <w:spacing w:after="40" w:before="40" w:line="280"/>
      </w:pPr>
      <w:r>
        <w:rPr>
          <w:rFonts w:ascii="Arial" w:cs="Arial" w:eastAsia="Arial" w:hAnsi="Arial"/>
          <w:sz w:val="22"/>
          <w:szCs w:val="22"/>
        </w:rPr>
        <w:t xml:space="preserve">No i18n, no RTL — non-functional for any non-English-speaking reviewer.</w:t>
      </w:r>
    </w:p>
    <w:p>
      <w:pPr>
        <w:pStyle w:val="Heading1"/>
        <w:pageBreakBefore/>
        <w:spacing w:after="200" w:before="240"/>
      </w:pPr>
      <w:r>
        <w:rPr>
          <w:rFonts w:ascii="Arial" w:cs="Arial" w:eastAsia="Arial" w:hAnsi="Arial"/>
          <w:b/>
          <w:bCs/>
          <w:color w:val="1F4E79"/>
        </w:rPr>
        <w:t xml:space="preserve">5. Compliance Gap Matrix</w:t>
      </w:r>
    </w:p>
    <w:p>
      <w:pPr>
        <w:spacing w:after="100" w:before="80" w:line="300"/>
        <w:jc w:val="left"/>
      </w:pPr>
      <w:r>
        <w:rPr>
          <w:rFonts w:ascii="Arial" w:cs="Arial" w:eastAsia="Arial" w:hAnsi="Arial"/>
          <w:sz w:val="22"/>
          <w:szCs w:val="22"/>
        </w:rPr>
        <w:t xml:space="preserve">This section maps the regulatory and certification surface a pharma SaaS buyer will assess to the current state of transmax. Coverage is graded as Yes (fully covered), Partial (concept present, not enterprise-grade) or No (missing). The right-hand column states the minimum work needed to reach 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Regulation / framework</w:t>
            </w:r>
          </w:p>
        </w:tc>
        <w:tc>
          <w:tcPr>
            <w:tcW w:type="dxa" w:w="11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Status</w:t>
            </w:r>
          </w:p>
        </w:tc>
        <w:tc>
          <w:tcPr>
            <w:tcW w:type="dxa" w:w="52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What is needed to reach 'Yes'</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21 CFR Part 11 — Electronic records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Partial</w:t>
            </w:r>
          </w:p>
        </w:tc>
        <w:tc>
          <w:tcPr>
            <w:tcW w:type="dxa" w:w="5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 ledger present but cryptographically weak; needs domain-separated chained hashing, append-only storage, signed daily Merkle roots, and an immutable evidence bundle export.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21 CFR Part 11 — Electronic signatures</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Implement two-factor signer attestation, signing reason codes, signed manifests on artefact export, and trusted-timestamp authority binding.</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21 CFR Part 11 — Access control</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Critical gap</w:t>
            </w:r>
          </w:p>
        </w:tc>
        <w:tc>
          <w:tcPr>
            <w:tcW w:type="dxa" w:w="5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Force AUTH_MODE != none in production, JWT or OIDC mandatory, RBAC enforcement at API layer, session timeout, MFA, periodic access review evidence.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GAMP 5 / Annex 11 — Validation</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Establish a CSV (computer-system validation) lifecycle: URS, FS, DS, IQ, OQ, PQ scripts; validation summary report; risk assessments per ISPE GAMP 5 Category 4 or 5.</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GAMP 5 — Change control</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Partial</w:t>
            </w:r>
          </w:p>
        </w:tc>
        <w:tc>
          <w:tcPr>
            <w:tcW w:type="dxa" w:w="5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Versioned migrations, signed releases, change tickets linked to test evidence and to release tags. Single mega-migration must be unwound.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EU GDPR — Data residency</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Region-locked tenants (EU / US / APAC), customer-managed keys, signed data-processing addendum, transfer-impact assessments.</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EU GDPR — Data subject rights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Per-user export and deletion endpoints; retention schedules; right-to-erasure with chain-preserving redaction.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HIPAA / PHI</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Business-associate-agreement-ready posture, end-to-end encryption, PHI detection that exceeds regex, access-log review tooling, breach-notification runbook.</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ISO 17100 — Translation services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Partial</w:t>
            </w:r>
          </w:p>
        </w:tc>
        <w:tc>
          <w:tcPr>
            <w:tcW w:type="dxa" w:w="5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Document the translator and reviewer competence requirements, project-management procedure, terminology management procedure, and revisions handling. Audit certification by a recognised body.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ISO 18587 — MT post-editing</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Partial</w:t>
            </w:r>
          </w:p>
        </w:tc>
        <w:tc>
          <w:tcPr>
            <w:tcW w:type="dxa" w:w="5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Formal MT post-editing process per ISO 18587 (full vs light), training materials for reviewers, post-edit distance and edit-density metrics.</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ISO 13485 — Medical devices QMS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Required if customers handle MDR / IVDR labelling. Establish QMS, design history file equivalents, supplier controls.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ISO 27001 / 27701 / SOC 2 Type II</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ISMS / PIMS scope, risk register, control library mapped to clauses, internal audits, external auditor engagement, 6+ months of evidence for SOC 2.</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EMA QRD templates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Partial</w:t>
            </w:r>
          </w:p>
        </w:tc>
        <w:tc>
          <w:tcPr>
            <w:tcW w:type="dxa" w:w="5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Profiles list mandatory headings; need a validator that checks every translated SmPC and PIL contains the required QRD sections in the right order.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EDQM Standard Terms</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Subscribe to EDQM Standard Terms database, enforce term-locking inside the agent, expose drift reports.</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IDMP (ISO 11615 / SPOR)</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Partial</w:t>
            </w:r>
          </w:p>
        </w:tc>
        <w:tc>
          <w:tcPr>
            <w:tcW w:type="dxa" w:w="5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Map identifiers (medicinal product, packaged product, manufactured item, ingredient) into the data model, integrate with EMA SPOR services.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MDR / IVDR labelling</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Add device-identifier validation, language-coverage rules per member state, and IFU traceability fields.</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EU AI Act (high-risk obligations, Aug 2026)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Publish technical documentation, model cards, risk-management system, post-market monitoring, conformity-assessment package.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FDA AI/ML credibility framework (Jan 2026)</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w:t>
            </w:r>
          </w:p>
        </w:tc>
        <w:tc>
          <w:tcPr>
            <w:tcW w:type="dxa" w:w="5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Define context of use, model risk class, credibility plan, executed evidence, deployed controls, post-market monitoring.</w:t>
            </w:r>
          </w:p>
        </w:tc>
      </w:tr>
    </w:tbl>
    <w:p>
      <w:pPr>
        <w:spacing w:after="100" w:before="80" w:line="300"/>
        <w:jc w:val="left"/>
      </w:pPr>
      <w:r>
        <w:rPr>
          <w:rFonts w:ascii="Arial" w:cs="Arial" w:eastAsia="Arial" w:hAnsi="Arial"/>
          <w:sz w:val="22"/>
          <w:szCs w:val="22"/>
        </w:rPr>
        <w:t xml:space="preserve">Headline: transmax meets roughly 35–40% of the compliance surface a top-20 pharma buyer will assess. The audit and config-snapshot ideas are correctly chosen; the work to make them defensible is mostly engineering and documentation rather than re-architecture.</w:t>
      </w:r>
    </w:p>
    <w:p>
      <w:pPr>
        <w:pStyle w:val="Heading1"/>
        <w:pageBreakBefore/>
        <w:spacing w:after="200" w:before="240"/>
      </w:pPr>
      <w:r>
        <w:rPr>
          <w:rFonts w:ascii="Arial" w:cs="Arial" w:eastAsia="Arial" w:hAnsi="Arial"/>
          <w:b/>
          <w:bCs/>
          <w:color w:val="1F4E79"/>
        </w:rPr>
        <w:t xml:space="preserve">6. Competitive Benchmark and Market Context</w:t>
      </w:r>
    </w:p>
    <w:p>
      <w:pPr>
        <w:spacing w:after="100" w:before="80" w:line="300"/>
        <w:jc w:val="left"/>
      </w:pPr>
      <w:r>
        <w:rPr>
          <w:rFonts w:ascii="Arial" w:cs="Arial" w:eastAsia="Arial" w:hAnsi="Arial"/>
          <w:sz w:val="22"/>
          <w:szCs w:val="22"/>
        </w:rPr>
        <w:t xml:space="preserve">Pharma translation is a multi-tier market where heritage LSPs still book the bulk of regulatory revenue, enterprise TMS platforms are encroaching with API-first cloud workflows, hyperscaler MT vendors have crossed the HIPAA / data-residency line in 2024–2025, and a new tier of agentic-native vendors is reshaping economics. Three forces are bending the curve: TransPerfect's August 2025 acquisition of Unbabel (LSP defensiveness against agentic competition), the EU AI Act high-risk obligations applying from 2 August 2026, and the FDA's January 2026 credibility framework for AI in drug development.</w:t>
      </w:r>
    </w:p>
    <w:p>
      <w:pPr>
        <w:pStyle w:val="Heading2"/>
        <w:spacing w:after="120" w:before="240"/>
      </w:pPr>
      <w:r>
        <w:rPr>
          <w:rFonts w:ascii="Arial" w:cs="Arial" w:eastAsia="Arial" w:hAnsi="Arial"/>
          <w:b/>
          <w:bCs/>
          <w:color w:val="1F4E79"/>
        </w:rPr>
        <w:t xml:space="preserve">6.1 Pharma-specialised LSPs</w:t>
      </w:r>
    </w:p>
    <w:p>
      <w:pPr>
        <w:spacing w:after="100" w:before="80" w:line="300"/>
        <w:jc w:val="left"/>
      </w:pPr>
      <w:r>
        <w:rPr>
          <w:rFonts w:ascii="Arial" w:cs="Arial" w:eastAsia="Arial" w:hAnsi="Arial"/>
          <w:sz w:val="22"/>
          <w:szCs w:val="22"/>
        </w:rPr>
        <w:t xml:space="preserve">Tier-1 pharma LSPs price at €0.20–€0.50 per word for SmPC / PIL / CTD content, with linguistic-validation packages adding €0.10–€0.20 per word. They monetise heritage, regulator relationships and human review depth. Their agentic stories are mostly retrofitted post-editing automations on top of CAT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700"/>
        <w:gridCol w:w="2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Vendor</w:t>
            </w:r>
          </w:p>
        </w:tc>
        <w:tc>
          <w:tcPr>
            <w:tcW w:type="dxa" w:w="11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Pharma fit</w:t>
            </w:r>
          </w:p>
        </w:tc>
        <w:tc>
          <w:tcPr>
            <w:tcW w:type="dxa" w:w="37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Distinctive AI / agent capability</w:t>
            </w:r>
          </w:p>
        </w:tc>
        <w:tc>
          <w:tcPr>
            <w:tcW w:type="dxa" w:w="28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Notable gap</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RWS Life Sciences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Excellent</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Linguistic validation (PRO / COA), GlobalLink TMS, Trados, AI-assisted post-editing.</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Closed TMS; agentic layer thin.</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Lionbridge Life Sciences</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Very good</w:t>
            </w:r>
          </w:p>
        </w:tc>
        <w:tc>
          <w:tcPr>
            <w:tcW w:type="dxa" w:w="3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EMA review expertise, AI-driven SmPC / PIL templates.</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published HIPAA BAA or explicit Part 11 stance.</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TransPerfect Life Sciences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Excellent</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eCTD publishing, regulatory AI co-pilot, lock-and-migrate approved content. Unbabel acquired Aug 2025.</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Agentic integration in flight; price premium.</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Welocalize Life Sciences</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Very good</w:t>
            </w:r>
          </w:p>
        </w:tc>
        <w:tc>
          <w:tcPr>
            <w:tcW w:type="dxa" w:w="3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Adaptive MT, pharma-trained LLM models, broad ISO certification stack.</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explicit Part 11 or GAMP 5 validation pack.</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Acolad Life Sciences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Good</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ISPOR-aligned linguistic validation; COA licensing.</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Agentic depth limited; eCTD integration thin.</w:t>
            </w:r>
          </w:p>
        </w:tc>
      </w:tr>
    </w:tbl>
    <w:p>
      <w:pPr>
        <w:pStyle w:val="Heading2"/>
        <w:spacing w:after="120" w:before="240"/>
      </w:pPr>
      <w:r>
        <w:rPr>
          <w:rFonts w:ascii="Arial" w:cs="Arial" w:eastAsia="Arial" w:hAnsi="Arial"/>
          <w:b/>
          <w:bCs/>
          <w:color w:val="1F4E79"/>
        </w:rPr>
        <w:t xml:space="preserve">6.2 Enterprise localisation / TMS</w:t>
      </w:r>
    </w:p>
    <w:p>
      <w:pPr>
        <w:spacing w:after="100" w:before="80" w:line="300"/>
        <w:jc w:val="left"/>
      </w:pPr>
      <w:r>
        <w:rPr>
          <w:rFonts w:ascii="Arial" w:cs="Arial" w:eastAsia="Arial" w:hAnsi="Arial"/>
          <w:sz w:val="22"/>
          <w:szCs w:val="22"/>
        </w:rPr>
        <w:t xml:space="preserve">TMS platforms price at €30–€150 per user per month plus per-word fees. They lead on connectors, workflow automation and operational scale. Pharma-grade TMS leaders are Phrase, Smartling and XTM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700"/>
        <w:gridCol w:w="2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Vendor</w:t>
            </w:r>
          </w:p>
        </w:tc>
        <w:tc>
          <w:tcPr>
            <w:tcW w:type="dxa" w:w="11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Pharma fit</w:t>
            </w:r>
          </w:p>
        </w:tc>
        <w:tc>
          <w:tcPr>
            <w:tcW w:type="dxa" w:w="37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Distinctive capability</w:t>
            </w:r>
          </w:p>
        </w:tc>
        <w:tc>
          <w:tcPr>
            <w:tcW w:type="dxa" w:w="28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Notable gap</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Phrase (ex-Memsource)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Good</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Phrase Language AI: agentic MT autoselect and post-editing agent; broad connectors (Veeva, SharePoint).</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GAMP 5 / Annex 11 packs unpublished; pharma templates nascent.</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Smartling</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Very good</w:t>
            </w:r>
          </w:p>
        </w:tc>
        <w:tc>
          <w:tcPr>
            <w:tcW w:type="dxa" w:w="3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Quality-aware MT with agentic QA scoring; ISO 13485 / 17100 / 27001.</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Workflow orchestration limited; eCTD connector unclear.</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XTM Cloud</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Excellent</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HIPAA-first architecture, Veeva Vault / Documentum / SharePoint / eCTD connectors, regulatory templates.</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GAMP 5 validation pack unpublished.</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memoQ</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Good</w:t>
            </w:r>
          </w:p>
        </w:tc>
        <w:tc>
          <w:tcPr>
            <w:tcW w:type="dxa" w:w="3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Agentic QA rules engine; ModernMT and Google Advanced MT plug-ins; Intento routing.</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published GAMP 5 or eCTD-native integration.</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Lokalise / Crowdin / Transifex</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Poor for pharma</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Developer-first, API-driven workflows.</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HIPAA, no GAMP 5, no eCTD; not regulated-content grade.</w:t>
            </w:r>
          </w:p>
        </w:tc>
      </w:tr>
    </w:tbl>
    <w:p>
      <w:pPr>
        <w:pStyle w:val="Heading2"/>
        <w:spacing w:after="120" w:before="240"/>
      </w:pPr>
      <w:r>
        <w:rPr>
          <w:rFonts w:ascii="Arial" w:cs="Arial" w:eastAsia="Arial" w:hAnsi="Arial"/>
          <w:b/>
          <w:bCs/>
          <w:color w:val="1F4E79"/>
        </w:rPr>
        <w:t xml:space="preserve">6.3 MT / NMT enterprise</w:t>
      </w:r>
    </w:p>
    <w:p>
      <w:pPr>
        <w:spacing w:after="100" w:before="80" w:line="300"/>
        <w:jc w:val="left"/>
      </w:pPr>
      <w:r>
        <w:rPr>
          <w:rFonts w:ascii="Arial" w:cs="Arial" w:eastAsia="Arial" w:hAnsi="Arial"/>
          <w:sz w:val="22"/>
          <w:szCs w:val="22"/>
        </w:rPr>
        <w:t xml:space="preserve">MT vendors price by character: €0.000015–€0.00006. They are infrastructure providers for the rest of the stack; their pharma-readiness is set by data-residency, BYOK and BAA availability, not by translation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700"/>
        <w:gridCol w:w="2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Vendor</w:t>
            </w:r>
          </w:p>
        </w:tc>
        <w:tc>
          <w:tcPr>
            <w:tcW w:type="dxa" w:w="11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Pharma fit</w:t>
            </w:r>
          </w:p>
        </w:tc>
        <w:tc>
          <w:tcPr>
            <w:tcW w:type="dxa" w:w="37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Distinctive capability</w:t>
            </w:r>
          </w:p>
        </w:tc>
        <w:tc>
          <w:tcPr>
            <w:tcW w:type="dxa" w:w="28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Notable gap</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DeepL Pro / Enterprise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Excellent</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HIPAA BAA (May 2025), EU / US data residency, BYOK, DeepL Write LLM refinement.</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native eCTD, no Part 11 e-sig, basic agentic surface.</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Google Cloud Translation Hub + AutoML</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Good</w:t>
            </w:r>
          </w:p>
        </w:tc>
        <w:tc>
          <w:tcPr>
            <w:tcW w:type="dxa" w:w="3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AutoML for domain models; LLM Translation; review-and-approval workflow.</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FedRAMP Moderate (not High); no Part 11; no eCTD.</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AWS Translate + Active Custom Translation</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Very good</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FedRAMP High, HIPAA-eligible, GovCloud, ACT for domain adaptation.</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agentic multi-agent layer; Part 11 audit trail not built-in.</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ModernMT</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Good</w:t>
            </w:r>
          </w:p>
        </w:tc>
        <w:tc>
          <w:tcPr>
            <w:tcW w:type="dxa" w:w="3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Adaptive NMT learning from translator corrections in real time.</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Part 11 e-sig; relies on host CAT for compliance posture.</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Microsoft Translator</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Fair</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Azure-native NMT, HIPAA-eligible.</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Limited pharma focus; no GAMP 5 or eCTD.</w:t>
            </w:r>
          </w:p>
        </w:tc>
      </w:tr>
    </w:tbl>
    <w:p>
      <w:pPr>
        <w:pStyle w:val="Heading2"/>
        <w:spacing w:after="120" w:before="240"/>
      </w:pPr>
      <w:r>
        <w:rPr>
          <w:rFonts w:ascii="Arial" w:cs="Arial" w:eastAsia="Arial" w:hAnsi="Arial"/>
          <w:b/>
          <w:bCs/>
          <w:color w:val="1F4E79"/>
        </w:rPr>
        <w:t xml:space="preserve">6.4 Agentic and AI-native</w:t>
      </w:r>
    </w:p>
    <w:p>
      <w:pPr>
        <w:spacing w:after="100" w:before="80" w:line="300"/>
        <w:jc w:val="left"/>
      </w:pPr>
      <w:r>
        <w:rPr>
          <w:rFonts w:ascii="Arial" w:cs="Arial" w:eastAsia="Arial" w:hAnsi="Arial"/>
          <w:sz w:val="22"/>
          <w:szCs w:val="22"/>
        </w:rPr>
        <w:t xml:space="preserve">This is the fast-growing, currently most strategically threatening tier. These platforms are re-framing translation as a multi-agent workflow with humans in the loop only where needed. Two are pharma-credible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700"/>
        <w:gridCol w:w="2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Vendor</w:t>
            </w:r>
          </w:p>
        </w:tc>
        <w:tc>
          <w:tcPr>
            <w:tcW w:type="dxa" w:w="11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Pharma fit</w:t>
            </w:r>
          </w:p>
        </w:tc>
        <w:tc>
          <w:tcPr>
            <w:tcW w:type="dxa" w:w="37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Distinctive capability</w:t>
            </w:r>
          </w:p>
        </w:tc>
        <w:tc>
          <w:tcPr>
            <w:tcW w:type="dxa" w:w="28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Notable gap</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Smartcat</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Excellent</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Multi-agent orchestration; pharma case studies (Gilead 6× speed-up, J&amp;J 92% cost reduction); SOP-trained terminology agents.</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GAMP 5 / Annex 11 explicitly on roadmap, not yet shipped.</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Lilt</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Very good</w:t>
            </w:r>
          </w:p>
        </w:tc>
        <w:tc>
          <w:tcPr>
            <w:tcW w:type="dxa" w:w="3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Adaptive AI plus expert review workflow; FDA / EMA / ISO audit-aligned trails; explicit EU AI Act readiness.</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Linguistic validation only partial; eCTD connector limited.</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Intento</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Good (infra)</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Multi-agent Language Hub: translation, post-edit, terminology, tone-of-voice agents; smart MT routing.</w:t>
            </w:r>
          </w:p>
        </w:tc>
        <w:tc>
          <w:tcPr>
            <w:tcW w:type="dxa" w:w="28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No published pharma regulatory mode.</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Unbabel (now TransPerfect)</w:t>
            </w:r>
          </w:p>
        </w:tc>
        <w:tc>
          <w:tcPr>
            <w:tcW w:type="dxa" w:w="11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Good</w:t>
            </w:r>
          </w:p>
        </w:tc>
        <w:tc>
          <w:tcPr>
            <w:tcW w:type="dxa" w:w="3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Hybrid AI QA and translator platform absorbed into TransPerfect's regulatory line.</w:t>
            </w:r>
          </w:p>
        </w:tc>
        <w:tc>
          <w:tcPr>
            <w:tcW w:type="dxa" w:w="28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Integration in progress; product story not yet stable.</w:t>
            </w:r>
          </w:p>
        </w:tc>
      </w:tr>
    </w:tbl>
    <w:p>
      <w:pPr>
        <w:pStyle w:val="Heading2"/>
        <w:spacing w:after="120" w:before="240"/>
      </w:pPr>
      <w:r>
        <w:rPr>
          <w:rFonts w:ascii="Arial" w:cs="Arial" w:eastAsia="Arial" w:hAnsi="Arial"/>
          <w:b/>
          <w:bCs/>
          <w:color w:val="1F4E79"/>
        </w:rPr>
        <w:t xml:space="preserve">6.5 Consolidated feature / compliance matrix</w:t>
      </w:r>
    </w:p>
    <w:p>
      <w:pPr>
        <w:spacing w:after="100" w:before="80" w:line="300"/>
        <w:jc w:val="left"/>
      </w:pPr>
      <w:r>
        <w:rPr>
          <w:rFonts w:ascii="Arial" w:cs="Arial" w:eastAsia="Arial" w:hAnsi="Arial"/>
          <w:sz w:val="22"/>
          <w:szCs w:val="22"/>
        </w:rPr>
        <w:t xml:space="preserve">Read this matrix as the single most important slide of the document. Y = full capability, P = partial / in development, N = missing or not documented.</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460"/>
        <w:gridCol w:w="460"/>
        <w:gridCol w:w="460"/>
        <w:gridCol w:w="460"/>
        <w:gridCol w:w="460"/>
        <w:gridCol w:w="460"/>
        <w:gridCol w:w="460"/>
        <w:gridCol w:w="460"/>
        <w:gridCol w:w="460"/>
        <w:gridCol w:w="460"/>
        <w:gridCol w:w="460"/>
        <w:gridCol w:w="7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Capability</w:t>
            </w:r>
          </w:p>
        </w:tc>
        <w:tc>
          <w:tcPr>
            <w:tcW w:type="dxa" w:w="7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TransMax (today)</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RWS</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Lionbridge</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TransPerfect</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Welocalize</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Phrase</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Smartling</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XTM</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DeepL Ent.</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AWS Tx</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Lilt</w:t>
            </w:r>
          </w:p>
        </w:tc>
        <w:tc>
          <w:tcPr>
            <w:tcW w:type="dxa" w:w="4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Smartcat</w:t>
            </w:r>
          </w:p>
        </w:tc>
        <w:tc>
          <w:tcPr>
            <w:tcW w:type="dxa" w:w="7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Intento</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TM and leverage</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Glossary / TBX</w:t>
            </w:r>
          </w:p>
        </w:tc>
        <w:tc>
          <w:tcPr>
            <w:tcW w:type="dxa" w:w="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Custom MT / fine-tune</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LLM-agentic translation</w:t>
            </w:r>
          </w:p>
        </w:tc>
        <w:tc>
          <w:tcPr>
            <w:tcW w:type="dxa" w:w="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Back-translation</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Linguistic validation (COA / PRO)</w:t>
            </w:r>
          </w:p>
        </w:tc>
        <w:tc>
          <w:tcPr>
            <w:tcW w:type="dxa" w:w="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7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EMA QRD enforcement</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EDQM Standard Terms</w:t>
            </w:r>
          </w:p>
        </w:tc>
        <w:tc>
          <w:tcPr>
            <w:tcW w:type="dxa" w:w="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7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IDMP</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21 CFR Part 11 trail / e-sig</w:t>
            </w:r>
          </w:p>
        </w:tc>
        <w:tc>
          <w:tcPr>
            <w:tcW w:type="dxa" w:w="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GAMP 5 validation pack</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HIPAA BAA</w:t>
            </w:r>
          </w:p>
        </w:tc>
        <w:tc>
          <w:tcPr>
            <w:tcW w:type="dxa" w:w="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ISO 27001 / SOC 2</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GDPR data residency</w:t>
            </w:r>
          </w:p>
        </w:tc>
        <w:tc>
          <w:tcPr>
            <w:tcW w:type="dxa" w:w="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PHI / PII redaction</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Tamper-evident audit ledger</w:t>
            </w:r>
          </w:p>
        </w:tc>
        <w:tc>
          <w:tcPr>
            <w:tcW w:type="dxa" w:w="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eCTD / Veeva connectors</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API + SDK + MCP</w:t>
            </w:r>
          </w:p>
        </w:tc>
        <w:tc>
          <w:tcPr>
            <w:tcW w:type="dxa" w:w="7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4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c>
          <w:tcPr>
            <w:tcW w:type="dxa" w:w="7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Y</w:t>
            </w:r>
          </w:p>
        </w:tc>
      </w:tr>
    </w:tbl>
    <w:p>
      <w:pPr>
        <w:pStyle w:val="Heading2"/>
        <w:spacing w:after="120" w:before="240"/>
      </w:pPr>
      <w:r>
        <w:rPr>
          <w:rFonts w:ascii="Arial" w:cs="Arial" w:eastAsia="Arial" w:hAnsi="Arial"/>
          <w:b/>
          <w:bCs/>
          <w:color w:val="1F4E79"/>
        </w:rPr>
        <w:t xml:space="preserve">6.6 Pricing benchmarks</w:t>
      </w:r>
    </w:p>
    <w:p>
      <w:pPr>
        <w:pStyle w:val="ListParagraph"/>
        <w:numPr>
          <w:ilvl w:val="0"/>
          <w:numId w:val="2"/>
        </w:numPr>
        <w:spacing w:after="40" w:before="40" w:line="280"/>
      </w:pPr>
      <w:r>
        <w:rPr>
          <w:rFonts w:ascii="Arial" w:cs="Arial" w:eastAsia="Arial" w:hAnsi="Arial"/>
          <w:sz w:val="22"/>
          <w:szCs w:val="22"/>
        </w:rPr>
        <w:t xml:space="preserve">Pharma LSP per-word: standard pharma €0.15–€0.25 per word; SmPC / PIL / CTD €0.25–€0.50 per word; linguistic validation packages add €0.10–€0.20 per word; setup fees €500–€15,000 per dossier.</w:t>
      </w:r>
    </w:p>
    <w:p>
      <w:pPr>
        <w:pStyle w:val="ListParagraph"/>
        <w:numPr>
          <w:ilvl w:val="0"/>
          <w:numId w:val="2"/>
        </w:numPr>
        <w:spacing w:after="40" w:before="40" w:line="280"/>
      </w:pPr>
      <w:r>
        <w:rPr>
          <w:rFonts w:ascii="Arial" w:cs="Arial" w:eastAsia="Arial" w:hAnsi="Arial"/>
          <w:sz w:val="22"/>
          <w:szCs w:val="22"/>
        </w:rPr>
        <w:t xml:space="preserve">TMS seat: Phrase, Smartling, XTM Cloud, memoQ €50–€150 per user per month; ten-user pharma teams €6,000–€18,000 per year on TMS alone, before translation services.</w:t>
      </w:r>
    </w:p>
    <w:p>
      <w:pPr>
        <w:pStyle w:val="ListParagraph"/>
        <w:numPr>
          <w:ilvl w:val="0"/>
          <w:numId w:val="2"/>
        </w:numPr>
        <w:spacing w:after="40" w:before="40" w:line="280"/>
      </w:pPr>
      <w:r>
        <w:rPr>
          <w:rFonts w:ascii="Arial" w:cs="Arial" w:eastAsia="Arial" w:hAnsi="Arial"/>
          <w:sz w:val="22"/>
          <w:szCs w:val="22"/>
        </w:rPr>
        <w:t xml:space="preserve">MT: DeepL Enterprise around €0.000020 per character custom; Google Translation Advanced from €0.000015; AWS Translate baseline €0.000015 plus Active Custom Translation +€0.00006 per character.</w:t>
      </w:r>
    </w:p>
    <w:p>
      <w:pPr>
        <w:pStyle w:val="ListParagraph"/>
        <w:numPr>
          <w:ilvl w:val="0"/>
          <w:numId w:val="2"/>
        </w:numPr>
        <w:spacing w:after="40" w:before="40" w:line="280"/>
      </w:pPr>
      <w:r>
        <w:rPr>
          <w:rFonts w:ascii="Arial" w:cs="Arial" w:eastAsia="Arial" w:hAnsi="Arial"/>
          <w:sz w:val="22"/>
          <w:szCs w:val="22"/>
        </w:rPr>
        <w:t xml:space="preserve">Agentic platforms: Smartcat custom (€30,000–€100,000+ per pharma org); Lilt volume-based; Intento per-agent monthly fees €2,000–€10,000+.</w:t>
      </w:r>
    </w:p>
    <w:p>
      <w:pPr>
        <w:pStyle w:val="ListParagraph"/>
        <w:numPr>
          <w:ilvl w:val="0"/>
          <w:numId w:val="2"/>
        </w:numPr>
        <w:spacing w:after="40" w:before="40" w:line="280"/>
      </w:pPr>
      <w:r>
        <w:rPr>
          <w:rFonts w:ascii="Arial" w:cs="Arial" w:eastAsia="Arial" w:hAnsi="Arial"/>
          <w:sz w:val="22"/>
          <w:szCs w:val="22"/>
        </w:rPr>
        <w:t xml:space="preserve">Total cost of ownership reference: large CTD dossier (500,000 words, 10 languages) €150,000–€300,000 with traditional LSP versus €80,000–€180,000 with hybrid TMS plus agentic post-editing.</w:t>
      </w:r>
    </w:p>
    <w:p>
      <w:pPr>
        <w:pStyle w:val="Heading2"/>
        <w:spacing w:after="120" w:before="240"/>
      </w:pPr>
      <w:r>
        <w:rPr>
          <w:rFonts w:ascii="Arial" w:cs="Arial" w:eastAsia="Arial" w:hAnsi="Arial"/>
          <w:b/>
          <w:bCs/>
          <w:color w:val="1F4E79"/>
        </w:rPr>
        <w:t xml:space="preserve">6.7 Market trends 2025–2026</w:t>
      </w:r>
    </w:p>
    <w:p>
      <w:pPr>
        <w:pStyle w:val="ListParagraph"/>
        <w:numPr>
          <w:ilvl w:val="0"/>
          <w:numId w:val="2"/>
        </w:numPr>
        <w:spacing w:after="40" w:before="40" w:line="280"/>
      </w:pPr>
      <w:r>
        <w:rPr>
          <w:rFonts w:ascii="Arial" w:cs="Arial" w:eastAsia="Arial" w:hAnsi="Arial"/>
          <w:sz w:val="22"/>
          <w:szCs w:val="22"/>
        </w:rPr>
        <w:t xml:space="preserve">Agentic translation has crossed the credibility threshold; documented case studies (Gilead, J&amp;J, Abbott) demonstrate 5–10× speed-ups and 60–90% cost reductions in regulated pharma content.</w:t>
      </w:r>
    </w:p>
    <w:p>
      <w:pPr>
        <w:pStyle w:val="ListParagraph"/>
        <w:numPr>
          <w:ilvl w:val="0"/>
          <w:numId w:val="2"/>
        </w:numPr>
        <w:spacing w:after="40" w:before="40" w:line="280"/>
      </w:pPr>
      <w:r>
        <w:rPr>
          <w:rFonts w:ascii="Arial" w:cs="Arial" w:eastAsia="Arial" w:hAnsi="Arial"/>
          <w:sz w:val="22"/>
          <w:szCs w:val="22"/>
        </w:rPr>
        <w:t xml:space="preserve">EU AI Act high-risk obligations apply from 2 August 2026: technical documentation, model cards, post-market monitoring, conformity assessment. Translation tools that inform regulatory decisions are explicitly in scope.</w:t>
      </w:r>
    </w:p>
    <w:p>
      <w:pPr>
        <w:pStyle w:val="ListParagraph"/>
        <w:numPr>
          <w:ilvl w:val="0"/>
          <w:numId w:val="2"/>
        </w:numPr>
        <w:spacing w:after="40" w:before="40" w:line="280"/>
      </w:pPr>
      <w:r>
        <w:rPr>
          <w:rFonts w:ascii="Arial" w:cs="Arial" w:eastAsia="Arial" w:hAnsi="Arial"/>
          <w:sz w:val="22"/>
          <w:szCs w:val="22"/>
        </w:rPr>
        <w:t xml:space="preserve">FDA published its credibility framework for AI in drug development in January 2026; seven-step assessment from context-of-use to post-market monitoring.</w:t>
      </w:r>
    </w:p>
    <w:p>
      <w:pPr>
        <w:pStyle w:val="ListParagraph"/>
        <w:numPr>
          <w:ilvl w:val="0"/>
          <w:numId w:val="2"/>
        </w:numPr>
        <w:spacing w:after="40" w:before="40" w:line="280"/>
      </w:pPr>
      <w:r>
        <w:rPr>
          <w:rFonts w:ascii="Arial" w:cs="Arial" w:eastAsia="Arial" w:hAnsi="Arial"/>
          <w:sz w:val="22"/>
          <w:szCs w:val="22"/>
        </w:rPr>
        <w:t xml:space="preserve">eCTD v4.0 begins displacing v3.2.2 in 2026; Module 1 v3.1.1 is mandatory in EMA from December 2025.</w:t>
      </w:r>
    </w:p>
    <w:p>
      <w:pPr>
        <w:pStyle w:val="ListParagraph"/>
        <w:numPr>
          <w:ilvl w:val="0"/>
          <w:numId w:val="2"/>
        </w:numPr>
        <w:spacing w:after="40" w:before="40" w:line="280"/>
      </w:pPr>
      <w:r>
        <w:rPr>
          <w:rFonts w:ascii="Arial" w:cs="Arial" w:eastAsia="Arial" w:hAnsi="Arial"/>
          <w:sz w:val="22"/>
          <w:szCs w:val="22"/>
        </w:rPr>
        <w:t xml:space="preserve">LSP consolidation continues: TransPerfect / Unbabel August 2025; further tier-2 mergers expected through 2026–2027.</w:t>
      </w:r>
    </w:p>
    <w:p>
      <w:pPr>
        <w:pStyle w:val="ListParagraph"/>
        <w:numPr>
          <w:ilvl w:val="0"/>
          <w:numId w:val="2"/>
        </w:numPr>
        <w:spacing w:after="40" w:before="40" w:line="280"/>
      </w:pPr>
      <w:r>
        <w:rPr>
          <w:rFonts w:ascii="Arial" w:cs="Arial" w:eastAsia="Arial" w:hAnsi="Arial"/>
          <w:sz w:val="22"/>
          <w:szCs w:val="22"/>
        </w:rPr>
        <w:t xml:space="preserve">LLM-as-translator commodity tier emerges; mid-market pharma can stand up domain-fine-tuned LLM translation for €50,000–€200,000 per year, threatening commodity LSP volume.</w:t>
      </w:r>
    </w:p>
    <w:p>
      <w:pPr>
        <w:pStyle w:val="Heading1"/>
        <w:pageBreakBefore/>
        <w:spacing w:after="200" w:before="240"/>
      </w:pPr>
      <w:r>
        <w:rPr>
          <w:rFonts w:ascii="Arial" w:cs="Arial" w:eastAsia="Arial" w:hAnsi="Arial"/>
          <w:b/>
          <w:bCs/>
          <w:color w:val="1F4E79"/>
        </w:rPr>
        <w:t xml:space="preserve">7. Strategic Positioning</w:t>
      </w:r>
    </w:p>
    <w:p>
      <w:pPr>
        <w:spacing w:after="100" w:before="80" w:line="300"/>
        <w:jc w:val="left"/>
      </w:pPr>
      <w:r>
        <w:rPr>
          <w:rFonts w:ascii="Arial" w:cs="Arial" w:eastAsia="Arial" w:hAnsi="Arial"/>
          <w:sz w:val="22"/>
          <w:szCs w:val="22"/>
        </w:rPr>
        <w:t xml:space="preserve">Two paths are open. The first is a TMS-style horizontal play (compete with Phrase, Smartling, XTM on broad enterprise localisation, with pharma as one vertical). The second is an agentic-native, regulatory-deep vertical play targeting pharma, biotech, medical devices and clinical research. The vertical play is the credible one given the existing investment in audit ledger, regulatory profiles, defect taxonomy and language calibration; the horizontal play would put transmax in a price war with vendors who outspend it on connectors and seat count.</w:t>
      </w:r>
    </w:p>
    <w:p>
      <w:pPr>
        <w:pStyle w:val="Heading2"/>
        <w:spacing w:after="120" w:before="240"/>
      </w:pPr>
      <w:r>
        <w:rPr>
          <w:rFonts w:ascii="Arial" w:cs="Arial" w:eastAsia="Arial" w:hAnsi="Arial"/>
          <w:b/>
          <w:bCs/>
          <w:color w:val="1F4E79"/>
        </w:rPr>
        <w:t xml:space="preserve">7.1 Recommended positioning</w:t>
      </w:r>
    </w:p>
    <w:p>
      <w:pPr>
        <w:spacing w:after="100" w:before="80" w:line="300"/>
      </w:pPr>
      <w:r>
        <w:rPr>
          <w:rFonts w:ascii="Arial" w:cs="Arial" w:eastAsia="Arial" w:hAnsi="Arial"/>
          <w:b/>
          <w:bCs/>
          <w:sz w:val="22"/>
          <w:szCs w:val="22"/>
        </w:rPr>
        <w:t xml:space="preserve">Category: </w:t>
      </w:r>
      <w:r>
        <w:rPr>
          <w:rFonts w:ascii="Arial" w:cs="Arial" w:eastAsia="Arial" w:hAnsi="Arial"/>
          <w:sz w:val="22"/>
          <w:szCs w:val="22"/>
        </w:rPr>
        <w:t xml:space="preserve">Agentic regulatory-content platform for life sciences.</w:t>
      </w:r>
    </w:p>
    <w:p>
      <w:pPr>
        <w:spacing w:after="100" w:before="80" w:line="300"/>
      </w:pPr>
      <w:r>
        <w:rPr>
          <w:rFonts w:ascii="Arial" w:cs="Arial" w:eastAsia="Arial" w:hAnsi="Arial"/>
          <w:b/>
          <w:bCs/>
          <w:sz w:val="22"/>
          <w:szCs w:val="22"/>
        </w:rPr>
        <w:t xml:space="preserve">Tag-line: </w:t>
      </w:r>
      <w:r>
        <w:rPr>
          <w:rFonts w:ascii="Arial" w:cs="Arial" w:eastAsia="Arial" w:hAnsi="Arial"/>
          <w:sz w:val="22"/>
          <w:szCs w:val="22"/>
        </w:rPr>
        <w:t xml:space="preserve">Translate the regulated content the regulator will actually accept — provably and at machine speed.</w:t>
      </w:r>
    </w:p>
    <w:p>
      <w:pPr>
        <w:spacing w:after="100" w:before="80" w:line="300"/>
      </w:pPr>
      <w:r>
        <w:rPr>
          <w:rFonts w:ascii="Arial" w:cs="Arial" w:eastAsia="Arial" w:hAnsi="Arial"/>
          <w:b/>
          <w:bCs/>
          <w:sz w:val="22"/>
          <w:szCs w:val="22"/>
        </w:rPr>
        <w:t xml:space="preserve">Buyer: </w:t>
      </w:r>
      <w:r>
        <w:rPr>
          <w:rFonts w:ascii="Arial" w:cs="Arial" w:eastAsia="Arial" w:hAnsi="Arial"/>
          <w:sz w:val="22"/>
          <w:szCs w:val="22"/>
        </w:rPr>
        <w:t xml:space="preserve">VP / Head of Regulatory Operations, Head of Global Labelling, Head of Medical Writing, Head of Clinical Operations, CIO of a top-100 pharma or a clinical CRO. Secondary buyer: VP Localisation.</w:t>
      </w:r>
    </w:p>
    <w:p>
      <w:pPr>
        <w:spacing w:after="100" w:before="80" w:line="300"/>
      </w:pPr>
      <w:r>
        <w:rPr>
          <w:rFonts w:ascii="Arial" w:cs="Arial" w:eastAsia="Arial" w:hAnsi="Arial"/>
          <w:b/>
          <w:bCs/>
          <w:sz w:val="22"/>
          <w:szCs w:val="22"/>
        </w:rPr>
        <w:t xml:space="preserve">Differentiator (north star): </w:t>
      </w:r>
      <w:r>
        <w:rPr>
          <w:rFonts w:ascii="Arial" w:cs="Arial" w:eastAsia="Arial" w:hAnsi="Arial"/>
          <w:sz w:val="22"/>
          <w:szCs w:val="22"/>
        </w:rPr>
        <w:t xml:space="preserve">Three things at once that no single competitor offers in 2026 — (1) agentic-first multi-agent orchestration; (2) pharma-native regulatory enforcement (EMA QRD, EDQM, IDMP, eCTD); (3) cryptographically defensible audit ledger and EU AI Act conformity-by-design.</w:t>
      </w:r>
    </w:p>
    <w:p>
      <w:pPr>
        <w:pStyle w:val="Heading2"/>
        <w:spacing w:after="120" w:before="240"/>
      </w:pPr>
      <w:r>
        <w:rPr>
          <w:rFonts w:ascii="Arial" w:cs="Arial" w:eastAsia="Arial" w:hAnsi="Arial"/>
          <w:b/>
          <w:bCs/>
          <w:color w:val="1F4E79"/>
        </w:rPr>
        <w:t xml:space="preserve">7.2 Where transmax already starts ahead</w:t>
      </w:r>
    </w:p>
    <w:p>
      <w:pPr>
        <w:pStyle w:val="ListParagraph"/>
        <w:numPr>
          <w:ilvl w:val="0"/>
          <w:numId w:val="2"/>
        </w:numPr>
        <w:spacing w:after="40" w:before="40" w:line="280"/>
      </w:pPr>
      <w:r>
        <w:rPr>
          <w:rFonts w:ascii="Arial" w:cs="Arial" w:eastAsia="Arial" w:hAnsi="Arial"/>
          <w:sz w:val="22"/>
          <w:szCs w:val="22"/>
        </w:rPr>
        <w:t xml:space="preserve">Hash-chained audit ledger — most TMS and MT vendors do not have one at all. Once strengthened (proper hashing, signed Merkle roots, immutability storage), this is a credible third-party-attested differentiator.</w:t>
      </w:r>
    </w:p>
    <w:p>
      <w:pPr>
        <w:pStyle w:val="ListParagraph"/>
        <w:numPr>
          <w:ilvl w:val="0"/>
          <w:numId w:val="2"/>
        </w:numPr>
        <w:spacing w:after="40" w:before="40" w:line="280"/>
      </w:pPr>
      <w:r>
        <w:rPr>
          <w:rFonts w:ascii="Arial" w:cs="Arial" w:eastAsia="Arial" w:hAnsi="Arial"/>
          <w:sz w:val="22"/>
          <w:szCs w:val="22"/>
        </w:rPr>
        <w:t xml:space="preserve">LangGraph-based agent — gives transmax the conceptual purity to evolve into a multi-agent orchestrator (translator agent, terminology agent, regulatory agent, reviewer agent, post-edit agent). Few competitors have this primitive native.</w:t>
      </w:r>
    </w:p>
    <w:p>
      <w:pPr>
        <w:pStyle w:val="ListParagraph"/>
        <w:numPr>
          <w:ilvl w:val="0"/>
          <w:numId w:val="2"/>
        </w:numPr>
        <w:spacing w:after="40" w:before="40" w:line="280"/>
      </w:pPr>
      <w:r>
        <w:rPr>
          <w:rFonts w:ascii="Arial" w:cs="Arial" w:eastAsia="Arial" w:hAnsi="Arial"/>
          <w:sz w:val="22"/>
          <w:szCs w:val="22"/>
        </w:rPr>
        <w:t xml:space="preserve">Per-job JobConfigSnapshot — exactly the right primitive for reproducibility, model cards and EU AI Act technical documentation.</w:t>
      </w:r>
    </w:p>
    <w:p>
      <w:pPr>
        <w:pStyle w:val="ListParagraph"/>
        <w:numPr>
          <w:ilvl w:val="0"/>
          <w:numId w:val="2"/>
        </w:numPr>
        <w:spacing w:after="40" w:before="40" w:line="280"/>
      </w:pPr>
      <w:r>
        <w:rPr>
          <w:rFonts w:ascii="Arial" w:cs="Arial" w:eastAsia="Arial" w:hAnsi="Arial"/>
          <w:sz w:val="22"/>
          <w:szCs w:val="22"/>
        </w:rPr>
        <w:t xml:space="preserve">Regulatory profiles, defect taxonomy and language packs — opinionated data structures that align with how a regulatory affairs lead actually thinks.</w:t>
      </w:r>
    </w:p>
    <w:p>
      <w:pPr>
        <w:pStyle w:val="Heading2"/>
        <w:spacing w:after="120" w:before="240"/>
      </w:pPr>
      <w:r>
        <w:rPr>
          <w:rFonts w:ascii="Arial" w:cs="Arial" w:eastAsia="Arial" w:hAnsi="Arial"/>
          <w:b/>
          <w:bCs/>
          <w:color w:val="1F4E79"/>
        </w:rPr>
        <w:t xml:space="preserve">7.3 Where transmax must catch up to be credible</w:t>
      </w:r>
    </w:p>
    <w:p>
      <w:pPr>
        <w:pStyle w:val="ListParagraph"/>
        <w:numPr>
          <w:ilvl w:val="0"/>
          <w:numId w:val="2"/>
        </w:numPr>
        <w:spacing w:after="40" w:before="40" w:line="280"/>
      </w:pPr>
      <w:r>
        <w:rPr>
          <w:rFonts w:ascii="Arial" w:cs="Arial" w:eastAsia="Arial" w:hAnsi="Arial"/>
          <w:sz w:val="22"/>
          <w:szCs w:val="22"/>
        </w:rPr>
        <w:t xml:space="preserve">Authentication, RBAC enforcement, multi-tenant data isolation, soft deletes — table stakes.</w:t>
      </w:r>
    </w:p>
    <w:p>
      <w:pPr>
        <w:pStyle w:val="ListParagraph"/>
        <w:numPr>
          <w:ilvl w:val="0"/>
          <w:numId w:val="2"/>
        </w:numPr>
        <w:spacing w:after="40" w:before="40" w:line="280"/>
      </w:pPr>
      <w:r>
        <w:rPr>
          <w:rFonts w:ascii="Arial" w:cs="Arial" w:eastAsia="Arial" w:hAnsi="Arial"/>
          <w:sz w:val="22"/>
          <w:szCs w:val="22"/>
        </w:rPr>
        <w:t xml:space="preserve">Cryptographic strengthening of the audit ledger — domain-separated chained hashing, signed Merkle anchors, off-system anchoring (e.g. AWS QLDB or signed S3 Object Lock).</w:t>
      </w:r>
    </w:p>
    <w:p>
      <w:pPr>
        <w:pStyle w:val="ListParagraph"/>
        <w:numPr>
          <w:ilvl w:val="0"/>
          <w:numId w:val="2"/>
        </w:numPr>
        <w:spacing w:after="40" w:before="40" w:line="280"/>
      </w:pPr>
      <w:r>
        <w:rPr>
          <w:rFonts w:ascii="Arial" w:cs="Arial" w:eastAsia="Arial" w:hAnsi="Arial"/>
          <w:sz w:val="22"/>
          <w:szCs w:val="22"/>
        </w:rPr>
        <w:t xml:space="preserve">Validation pack (URS / FS / IQ / OQ / PQ) shipped with every release; signed release manifest.</w:t>
      </w:r>
    </w:p>
    <w:p>
      <w:pPr>
        <w:pStyle w:val="ListParagraph"/>
        <w:numPr>
          <w:ilvl w:val="0"/>
          <w:numId w:val="2"/>
        </w:numPr>
        <w:spacing w:after="40" w:before="40" w:line="280"/>
      </w:pPr>
      <w:r>
        <w:rPr>
          <w:rFonts w:ascii="Arial" w:cs="Arial" w:eastAsia="Arial" w:hAnsi="Arial"/>
          <w:sz w:val="22"/>
          <w:szCs w:val="22"/>
        </w:rPr>
        <w:t xml:space="preserve">Real document ingestion (DOCX with tracked changes; PDF with OCR and table extraction; XLIFF in / out; eCTD-aware export).</w:t>
      </w:r>
    </w:p>
    <w:p>
      <w:pPr>
        <w:pStyle w:val="ListParagraph"/>
        <w:numPr>
          <w:ilvl w:val="0"/>
          <w:numId w:val="2"/>
        </w:numPr>
        <w:spacing w:after="40" w:before="40" w:line="280"/>
      </w:pPr>
      <w:r>
        <w:rPr>
          <w:rFonts w:ascii="Arial" w:cs="Arial" w:eastAsia="Arial" w:hAnsi="Arial"/>
          <w:sz w:val="22"/>
          <w:szCs w:val="22"/>
        </w:rPr>
        <w:t xml:space="preserve">Connectors to Veeva Vault PromoMats and RIM, Documentum, SharePoint, eCTD publishers (LORENZ, Extedo, EXT-DM), Microsoft 365 / Teams, Slack.</w:t>
      </w:r>
    </w:p>
    <w:p>
      <w:pPr>
        <w:pStyle w:val="ListParagraph"/>
        <w:numPr>
          <w:ilvl w:val="0"/>
          <w:numId w:val="2"/>
        </w:numPr>
        <w:spacing w:after="40" w:before="40" w:line="280"/>
      </w:pPr>
      <w:r>
        <w:rPr>
          <w:rFonts w:ascii="Arial" w:cs="Arial" w:eastAsia="Arial" w:hAnsi="Arial"/>
          <w:sz w:val="22"/>
          <w:szCs w:val="22"/>
        </w:rPr>
        <w:t xml:space="preserve">Linguistic validation workflow (forward translation, back translation, reconciliation, cognitive debriefing capture) — the historic moat of pharma LSPs.</w:t>
      </w:r>
    </w:p>
    <w:p>
      <w:pPr>
        <w:pStyle w:val="ListParagraph"/>
        <w:numPr>
          <w:ilvl w:val="0"/>
          <w:numId w:val="2"/>
        </w:numPr>
        <w:spacing w:after="40" w:before="40" w:line="280"/>
      </w:pPr>
      <w:r>
        <w:rPr>
          <w:rFonts w:ascii="Arial" w:cs="Arial" w:eastAsia="Arial" w:hAnsi="Arial"/>
          <w:sz w:val="22"/>
          <w:szCs w:val="22"/>
        </w:rPr>
        <w:t xml:space="preserve">EU AI Act conformity package (technical documentation, post-market monitoring, model cards) and FDA credibility-framework assessment per release.</w:t>
      </w:r>
    </w:p>
    <w:p>
      <w:pPr>
        <w:pStyle w:val="Heading1"/>
        <w:pageBreakBefore/>
        <w:spacing w:after="200" w:before="240"/>
      </w:pPr>
      <w:r>
        <w:rPr>
          <w:rFonts w:ascii="Arial" w:cs="Arial" w:eastAsia="Arial" w:hAnsi="Arial"/>
          <w:b/>
          <w:bCs/>
          <w:color w:val="1F4E79"/>
        </w:rPr>
        <w:t xml:space="preserve">8. Phased Upgrade Roadmap</w:t>
      </w:r>
    </w:p>
    <w:p>
      <w:pPr>
        <w:spacing w:after="100" w:before="80" w:line="300"/>
        <w:jc w:val="left"/>
      </w:pPr>
      <w:r>
        <w:rPr>
          <w:rFonts w:ascii="Arial" w:cs="Arial" w:eastAsia="Arial" w:hAnsi="Arial"/>
          <w:sz w:val="22"/>
          <w:szCs w:val="22"/>
        </w:rPr>
        <w:t xml:space="preserve">This roadmap is engineered around the principle of compounding: each phase produces a defensible artefact (a security baseline, a validated release, a connector, a certification) that customers can take to their internal compliance teams. Estimates assume a focused team of approximately ten engineers, two QA / validation engineers, one regulatory affairs lead, one designer, one product manager and a part-time security engineer.</w:t>
      </w:r>
    </w:p>
    <w:p>
      <w:pPr>
        <w:pStyle w:val="Heading2"/>
        <w:spacing w:after="120" w:before="240"/>
      </w:pPr>
      <w:r>
        <w:rPr>
          <w:rFonts w:ascii="Arial" w:cs="Arial" w:eastAsia="Arial" w:hAnsi="Arial"/>
          <w:b/>
          <w:bCs/>
          <w:color w:val="1F4E79"/>
        </w:rPr>
        <w:t xml:space="preserve">8.1 Phase 0 — Now (0–2 weeks): Stop the bleeding</w:t>
      </w:r>
    </w:p>
    <w:p>
      <w:pPr>
        <w:spacing w:after="100" w:before="80" w:line="300"/>
        <w:jc w:val="left"/>
      </w:pPr>
      <w:r>
        <w:rPr>
          <w:rFonts w:ascii="Arial" w:cs="Arial" w:eastAsia="Arial" w:hAnsi="Arial"/>
          <w:sz w:val="22"/>
          <w:szCs w:val="22"/>
        </w:rPr>
        <w:t xml:space="preserve">Nothing in this phase is optional. None of it is glamorous. All of it is disqualifying if not done.</w:t>
      </w:r>
    </w:p>
    <w:p>
      <w:pPr>
        <w:pStyle w:val="ListParagraph"/>
        <w:numPr>
          <w:ilvl w:val="0"/>
          <w:numId w:val="3"/>
        </w:numPr>
        <w:spacing w:after="40" w:before="40" w:line="280"/>
      </w:pPr>
      <w:r>
        <w:rPr>
          <w:rFonts w:ascii="Arial" w:cs="Arial" w:eastAsia="Arial" w:hAnsi="Arial"/>
          <w:sz w:val="22"/>
          <w:szCs w:val="22"/>
        </w:rPr>
        <w:t xml:space="preserve">Rotate the OpenAI API key, purge the .env from git history (git filter-repo), enforce .env in .gitignore, move secrets to a vault (1Password Secrets Automation, AWS Secrets Manager, GitHub Actions environments).</w:t>
      </w:r>
    </w:p>
    <w:p>
      <w:pPr>
        <w:pStyle w:val="ListParagraph"/>
        <w:numPr>
          <w:ilvl w:val="0"/>
          <w:numId w:val="3"/>
        </w:numPr>
        <w:spacing w:after="40" w:before="40" w:line="280"/>
      </w:pPr>
      <w:r>
        <w:rPr>
          <w:rFonts w:ascii="Arial" w:cs="Arial" w:eastAsia="Arial" w:hAnsi="Arial"/>
          <w:sz w:val="22"/>
          <w:szCs w:val="22"/>
        </w:rPr>
        <w:t xml:space="preserve">Force AUTH_MODE != none in production; remove the dev-admin fallback in lib/auth.tsx; break the build if SECRET_KEY equals the default.</w:t>
      </w:r>
    </w:p>
    <w:p>
      <w:pPr>
        <w:pStyle w:val="ListParagraph"/>
        <w:numPr>
          <w:ilvl w:val="0"/>
          <w:numId w:val="3"/>
        </w:numPr>
        <w:spacing w:after="40" w:before="40" w:line="280"/>
      </w:pPr>
      <w:r>
        <w:rPr>
          <w:rFonts w:ascii="Arial" w:cs="Arial" w:eastAsia="Arial" w:hAnsi="Arial"/>
          <w:sz w:val="22"/>
          <w:szCs w:val="22"/>
        </w:rPr>
        <w:t xml:space="preserve">Strip the mock-data fallback in app/review/[jobId]/page.tsx; replace with explicit error and retry UX.</w:t>
      </w:r>
    </w:p>
    <w:p>
      <w:pPr>
        <w:pStyle w:val="ListParagraph"/>
        <w:numPr>
          <w:ilvl w:val="0"/>
          <w:numId w:val="3"/>
        </w:numPr>
        <w:spacing w:after="40" w:before="40" w:line="280"/>
      </w:pPr>
      <w:r>
        <w:rPr>
          <w:rFonts w:ascii="Arial" w:cs="Arial" w:eastAsia="Arial" w:hAnsi="Arial"/>
          <w:sz w:val="22"/>
          <w:szCs w:val="22"/>
        </w:rPr>
        <w:t xml:space="preserve">Fix tailwindcss-animate import in tailwind.config.ts; get the frontend build green; gate PRs on a passing build and lint.</w:t>
      </w:r>
    </w:p>
    <w:p>
      <w:pPr>
        <w:pStyle w:val="ListParagraph"/>
        <w:numPr>
          <w:ilvl w:val="0"/>
          <w:numId w:val="3"/>
        </w:numPr>
        <w:spacing w:after="40" w:before="40" w:line="280"/>
      </w:pPr>
      <w:r>
        <w:rPr>
          <w:rFonts w:ascii="Arial" w:cs="Arial" w:eastAsia="Arial" w:hAnsi="Arial"/>
          <w:sz w:val="22"/>
          <w:szCs w:val="22"/>
        </w:rPr>
        <w:t xml:space="preserve">Remove all *.db files and debug logs from git; expand .gitignore.</w:t>
      </w:r>
    </w:p>
    <w:p>
      <w:pPr>
        <w:pStyle w:val="ListParagraph"/>
        <w:numPr>
          <w:ilvl w:val="0"/>
          <w:numId w:val="3"/>
        </w:numPr>
        <w:spacing w:after="40" w:before="40" w:line="280"/>
      </w:pPr>
      <w:r>
        <w:rPr>
          <w:rFonts w:ascii="Arial" w:cs="Arial" w:eastAsia="Arial" w:hAnsi="Arial"/>
          <w:sz w:val="22"/>
          <w:szCs w:val="22"/>
        </w:rPr>
        <w:t xml:space="preserve">Add a SECURITY.md, an incident-response runbook stub and a privacy notice.</w:t>
      </w:r>
    </w:p>
    <w:p>
      <w:pPr>
        <w:pStyle w:val="ListParagraph"/>
        <w:numPr>
          <w:ilvl w:val="0"/>
          <w:numId w:val="3"/>
        </w:numPr>
        <w:spacing w:after="40" w:before="40" w:line="280"/>
      </w:pPr>
      <w:r>
        <w:rPr>
          <w:rFonts w:ascii="Arial" w:cs="Arial" w:eastAsia="Arial" w:hAnsi="Arial"/>
          <w:sz w:val="22"/>
          <w:szCs w:val="22"/>
        </w:rPr>
        <w:t xml:space="preserve">Stand up dependency scanning (Dependabot or Renovate) and secret scanning (gitleaks or GitHub Advanced Security).</w:t>
      </w:r>
    </w:p>
    <w:p>
      <w:pPr>
        <w:pStyle w:val="Heading2"/>
        <w:spacing w:after="120" w:before="240"/>
      </w:pPr>
      <w:r>
        <w:rPr>
          <w:rFonts w:ascii="Arial" w:cs="Arial" w:eastAsia="Arial" w:hAnsi="Arial"/>
          <w:b/>
          <w:bCs/>
          <w:color w:val="1F4E79"/>
        </w:rPr>
        <w:t xml:space="preserve">8.2 Phase 1 — Pharma MVP foundations (0–90 days)</w:t>
      </w:r>
    </w:p>
    <w:p>
      <w:pPr>
        <w:spacing w:after="100" w:before="80" w:line="300"/>
        <w:jc w:val="left"/>
      </w:pPr>
      <w:r>
        <w:rPr>
          <w:rFonts w:ascii="Arial" w:cs="Arial" w:eastAsia="Arial" w:hAnsi="Arial"/>
          <w:sz w:val="22"/>
          <w:szCs w:val="22"/>
        </w:rPr>
        <w:t xml:space="preserve">Goal: a transmax that can be put in front of a pilot pharma customer with a vendor security questionnaire and pass it. Outcome: signed pilot.</w:t>
      </w:r>
    </w:p>
    <w:p>
      <w:pPr>
        <w:pStyle w:val="Heading3"/>
        <w:spacing w:after="80" w:before="180"/>
      </w:pPr>
      <w:r>
        <w:rPr>
          <w:rFonts w:ascii="Arial" w:cs="Arial" w:eastAsia="Arial" w:hAnsi="Arial"/>
          <w:b/>
          <w:bCs/>
          <w:color w:val="595959"/>
        </w:rPr>
        <w:t xml:space="preserve">Security and identity</w:t>
      </w:r>
    </w:p>
    <w:p>
      <w:pPr>
        <w:pStyle w:val="ListParagraph"/>
        <w:numPr>
          <w:ilvl w:val="0"/>
          <w:numId w:val="2"/>
        </w:numPr>
        <w:spacing w:after="40" w:before="40" w:line="280"/>
      </w:pPr>
      <w:r>
        <w:rPr>
          <w:rFonts w:ascii="Arial" w:cs="Arial" w:eastAsia="Arial" w:hAnsi="Arial"/>
          <w:sz w:val="22"/>
          <w:szCs w:val="22"/>
        </w:rPr>
        <w:t xml:space="preserve">Replace the auth abstraction with Auth0, Okta or Keycloak; SAML and OIDC out of the box; SCIM provisioning; MFA enforced; session timeout.</w:t>
      </w:r>
    </w:p>
    <w:p>
      <w:pPr>
        <w:pStyle w:val="ListParagraph"/>
        <w:numPr>
          <w:ilvl w:val="0"/>
          <w:numId w:val="2"/>
        </w:numPr>
        <w:spacing w:after="40" w:before="40" w:line="280"/>
      </w:pPr>
      <w:r>
        <w:rPr>
          <w:rFonts w:ascii="Arial" w:cs="Arial" w:eastAsia="Arial" w:hAnsi="Arial"/>
          <w:sz w:val="22"/>
          <w:szCs w:val="22"/>
        </w:rPr>
        <w:t xml:space="preserve">Move JWTs to httpOnly Secure SameSite=Strict cookies; introduce CSRF tokens; replace 401 hard reload with graceful re-auth.</w:t>
      </w:r>
    </w:p>
    <w:p>
      <w:pPr>
        <w:pStyle w:val="ListParagraph"/>
        <w:numPr>
          <w:ilvl w:val="0"/>
          <w:numId w:val="2"/>
        </w:numPr>
        <w:spacing w:after="40" w:before="40" w:line="280"/>
      </w:pPr>
      <w:r>
        <w:rPr>
          <w:rFonts w:ascii="Arial" w:cs="Arial" w:eastAsia="Arial" w:hAnsi="Arial"/>
          <w:sz w:val="22"/>
          <w:szCs w:val="22"/>
        </w:rPr>
        <w:t xml:space="preserve">Enforce RBAC at every API route via dependency injection (FastAPI Depends); add row-level filters on organization_id; introduce a tenant-scoped database session factory.</w:t>
      </w:r>
    </w:p>
    <w:p>
      <w:pPr>
        <w:pStyle w:val="Heading3"/>
        <w:spacing w:after="80" w:before="180"/>
      </w:pPr>
      <w:r>
        <w:rPr>
          <w:rFonts w:ascii="Arial" w:cs="Arial" w:eastAsia="Arial" w:hAnsi="Arial"/>
          <w:b/>
          <w:bCs/>
          <w:color w:val="595959"/>
        </w:rPr>
        <w:t xml:space="preserve">Audit and tamper evidence</w:t>
      </w:r>
    </w:p>
    <w:p>
      <w:pPr>
        <w:pStyle w:val="ListParagraph"/>
        <w:numPr>
          <w:ilvl w:val="0"/>
          <w:numId w:val="2"/>
        </w:numPr>
        <w:spacing w:after="40" w:before="40" w:line="280"/>
      </w:pPr>
      <w:r>
        <w:rPr>
          <w:rFonts w:ascii="Arial" w:cs="Arial" w:eastAsia="Arial" w:hAnsi="Arial"/>
          <w:sz w:val="22"/>
          <w:szCs w:val="22"/>
        </w:rPr>
        <w:t xml:space="preserve">Replace string-concatenated hashing with structured domain-separated input (sequence_index, previous_hash, payload_hash) and a registered Merkle root anchored daily to AWS QLDB or signed S3 Object Lock.</w:t>
      </w:r>
    </w:p>
    <w:p>
      <w:pPr>
        <w:pStyle w:val="ListParagraph"/>
        <w:numPr>
          <w:ilvl w:val="0"/>
          <w:numId w:val="2"/>
        </w:numPr>
        <w:spacing w:after="40" w:before="40" w:line="280"/>
      </w:pPr>
      <w:r>
        <w:rPr>
          <w:rFonts w:ascii="Arial" w:cs="Arial" w:eastAsia="Arial" w:hAnsi="Arial"/>
          <w:sz w:val="22"/>
          <w:szCs w:val="22"/>
        </w:rPr>
        <w:t xml:space="preserve">Add soft-delete (is_deleted, deleted_at, deleted_by) on every table; reject hard deletes in code; expose a redaction-by-tombstone path that preserves the chain.</w:t>
      </w:r>
    </w:p>
    <w:p>
      <w:pPr>
        <w:pStyle w:val="ListParagraph"/>
        <w:numPr>
          <w:ilvl w:val="0"/>
          <w:numId w:val="2"/>
        </w:numPr>
        <w:spacing w:after="40" w:before="40" w:line="280"/>
      </w:pPr>
      <w:r>
        <w:rPr>
          <w:rFonts w:ascii="Arial" w:cs="Arial" w:eastAsia="Arial" w:hAnsi="Arial"/>
          <w:sz w:val="22"/>
          <w:szCs w:val="22"/>
        </w:rPr>
        <w:t xml:space="preserve">Generate per-event timestamps with timezone-aware UTC; add a trusted-timestamp authority signature on signed events.</w:t>
      </w:r>
    </w:p>
    <w:p>
      <w:pPr>
        <w:pStyle w:val="ListParagraph"/>
        <w:numPr>
          <w:ilvl w:val="0"/>
          <w:numId w:val="2"/>
        </w:numPr>
        <w:spacing w:after="40" w:before="40" w:line="280"/>
      </w:pPr>
      <w:r>
        <w:rPr>
          <w:rFonts w:ascii="Arial" w:cs="Arial" w:eastAsia="Arial" w:hAnsi="Arial"/>
          <w:sz w:val="22"/>
          <w:szCs w:val="22"/>
        </w:rPr>
        <w:t xml:space="preserve">Sign every release artefact with cosign and pin to a verified attestation.</w:t>
      </w:r>
    </w:p>
    <w:p>
      <w:pPr>
        <w:pStyle w:val="Heading3"/>
        <w:spacing w:after="80" w:before="180"/>
      </w:pPr>
      <w:r>
        <w:rPr>
          <w:rFonts w:ascii="Arial" w:cs="Arial" w:eastAsia="Arial" w:hAnsi="Arial"/>
          <w:b/>
          <w:bCs/>
          <w:color w:val="595959"/>
        </w:rPr>
        <w:t xml:space="preserve">Migrations and data</w:t>
      </w:r>
    </w:p>
    <w:p>
      <w:pPr>
        <w:pStyle w:val="ListParagraph"/>
        <w:numPr>
          <w:ilvl w:val="0"/>
          <w:numId w:val="2"/>
        </w:numPr>
        <w:spacing w:after="40" w:before="40" w:line="280"/>
      </w:pPr>
      <w:r>
        <w:rPr>
          <w:rFonts w:ascii="Arial" w:cs="Arial" w:eastAsia="Arial" w:hAnsi="Arial"/>
          <w:sz w:val="22"/>
          <w:szCs w:val="22"/>
        </w:rPr>
        <w:t xml:space="preserve">Unwind the mega-migration into versioned, semantically meaningful steps; add Alembic env.py auto-migration on boot; introduce a migration testing harness with PostgreSQL + pgvector.</w:t>
      </w:r>
    </w:p>
    <w:p>
      <w:pPr>
        <w:pStyle w:val="ListParagraph"/>
        <w:numPr>
          <w:ilvl w:val="0"/>
          <w:numId w:val="2"/>
        </w:numPr>
        <w:spacing w:after="40" w:before="40" w:line="280"/>
      </w:pPr>
      <w:r>
        <w:rPr>
          <w:rFonts w:ascii="Arial" w:cs="Arial" w:eastAsia="Arial" w:hAnsi="Arial"/>
          <w:sz w:val="22"/>
          <w:szCs w:val="22"/>
        </w:rPr>
        <w:t xml:space="preserve">Introduce data classifications (Public / Internal / Confidential / PHI) and route logs to a redaction pipeline before persistence.</w:t>
      </w:r>
    </w:p>
    <w:p>
      <w:pPr>
        <w:pStyle w:val="Heading3"/>
        <w:spacing w:after="80" w:before="180"/>
      </w:pPr>
      <w:r>
        <w:rPr>
          <w:rFonts w:ascii="Arial" w:cs="Arial" w:eastAsia="Arial" w:hAnsi="Arial"/>
          <w:b/>
          <w:bCs/>
          <w:color w:val="595959"/>
        </w:rPr>
        <w:t xml:space="preserve">Agent and quality</w:t>
      </w:r>
    </w:p>
    <w:p>
      <w:pPr>
        <w:pStyle w:val="ListParagraph"/>
        <w:numPr>
          <w:ilvl w:val="0"/>
          <w:numId w:val="2"/>
        </w:numPr>
        <w:spacing w:after="40" w:before="40" w:line="280"/>
      </w:pPr>
      <w:r>
        <w:rPr>
          <w:rFonts w:ascii="Arial" w:cs="Arial" w:eastAsia="Arial" w:hAnsi="Arial"/>
          <w:sz w:val="22"/>
          <w:szCs w:val="22"/>
        </w:rPr>
        <w:t xml:space="preserve">Make QualityGateService and ResilienceService instance-based and thread-safe; back the circuit breaker with Redis; enforce idempotency keys on job submission.</w:t>
      </w:r>
    </w:p>
    <w:p>
      <w:pPr>
        <w:pStyle w:val="ListParagraph"/>
        <w:numPr>
          <w:ilvl w:val="0"/>
          <w:numId w:val="2"/>
        </w:numPr>
        <w:spacing w:after="40" w:before="40" w:line="280"/>
      </w:pPr>
      <w:r>
        <w:rPr>
          <w:rFonts w:ascii="Arial" w:cs="Arial" w:eastAsia="Arial" w:hAnsi="Arial"/>
          <w:sz w:val="22"/>
          <w:szCs w:val="22"/>
        </w:rPr>
        <w:t xml:space="preserve">Replace naive period segmentation with sentence segmentation (Stanza, spaCy SeqSegmenter or a transformer-based segmenter); add abbreviation handling; preserve table and list structure.</w:t>
      </w:r>
    </w:p>
    <w:p>
      <w:pPr>
        <w:pStyle w:val="ListParagraph"/>
        <w:numPr>
          <w:ilvl w:val="0"/>
          <w:numId w:val="2"/>
        </w:numPr>
        <w:spacing w:after="40" w:before="40" w:line="280"/>
      </w:pPr>
      <w:r>
        <w:rPr>
          <w:rFonts w:ascii="Arial" w:cs="Arial" w:eastAsia="Arial" w:hAnsi="Arial"/>
          <w:sz w:val="22"/>
          <w:szCs w:val="22"/>
        </w:rPr>
        <w:t xml:space="preserve">Wire OpenTelemetry spans across LangGraph nodes; emit Prometheus counters and histograms (latency, defect rate, refinement-loop iterations, cost per job).</w:t>
      </w:r>
    </w:p>
    <w:p>
      <w:pPr>
        <w:pStyle w:val="ListParagraph"/>
        <w:numPr>
          <w:ilvl w:val="0"/>
          <w:numId w:val="2"/>
        </w:numPr>
        <w:spacing w:after="40" w:before="40" w:line="280"/>
      </w:pPr>
      <w:r>
        <w:rPr>
          <w:rFonts w:ascii="Arial" w:cs="Arial" w:eastAsia="Arial" w:hAnsi="Arial"/>
          <w:sz w:val="22"/>
          <w:szCs w:val="22"/>
        </w:rPr>
        <w:t xml:space="preserve">Promote prompts into a versioned registry (Git-tracked YAML or a managed prompt registry); record prompt-version on every JobConfigSnapshot.</w:t>
      </w:r>
    </w:p>
    <w:p>
      <w:pPr>
        <w:pStyle w:val="Heading3"/>
        <w:spacing w:after="80" w:before="180"/>
      </w:pPr>
      <w:r>
        <w:rPr>
          <w:rFonts w:ascii="Arial" w:cs="Arial" w:eastAsia="Arial" w:hAnsi="Arial"/>
          <w:b/>
          <w:bCs/>
          <w:color w:val="595959"/>
        </w:rPr>
        <w:t xml:space="preserve">Frontend consolidation</w:t>
      </w:r>
    </w:p>
    <w:p>
      <w:pPr>
        <w:pStyle w:val="ListParagraph"/>
        <w:numPr>
          <w:ilvl w:val="0"/>
          <w:numId w:val="2"/>
        </w:numPr>
        <w:spacing w:after="40" w:before="40" w:line="280"/>
      </w:pPr>
      <w:r>
        <w:rPr>
          <w:rFonts w:ascii="Arial" w:cs="Arial" w:eastAsia="Arial" w:hAnsi="Arial"/>
          <w:sz w:val="22"/>
          <w:szCs w:val="22"/>
        </w:rPr>
        <w:t xml:space="preserve">Pick one routing IA (recommend /workspace/*) and retire the other; remove duplicated document workstations.</w:t>
      </w:r>
    </w:p>
    <w:p>
      <w:pPr>
        <w:pStyle w:val="ListParagraph"/>
        <w:numPr>
          <w:ilvl w:val="0"/>
          <w:numId w:val="2"/>
        </w:numPr>
        <w:spacing w:after="40" w:before="40" w:line="280"/>
      </w:pPr>
      <w:r>
        <w:rPr>
          <w:rFonts w:ascii="Arial" w:cs="Arial" w:eastAsia="Arial" w:hAnsi="Arial"/>
          <w:sz w:val="22"/>
          <w:szCs w:val="22"/>
        </w:rPr>
        <w:t xml:space="preserve">Persist reviewer edits with explicit save-and-sign flow; capture change-reason and signer identity per segment; show a tamper-evident state badge derived from the server.</w:t>
      </w:r>
    </w:p>
    <w:p>
      <w:pPr>
        <w:pStyle w:val="ListParagraph"/>
        <w:numPr>
          <w:ilvl w:val="0"/>
          <w:numId w:val="2"/>
        </w:numPr>
        <w:spacing w:after="40" w:before="40" w:line="280"/>
      </w:pPr>
      <w:r>
        <w:rPr>
          <w:rFonts w:ascii="Arial" w:cs="Arial" w:eastAsia="Arial" w:hAnsi="Arial"/>
          <w:sz w:val="22"/>
          <w:szCs w:val="22"/>
        </w:rPr>
        <w:t xml:space="preserve">Add Vitest plus Playwright smoke suite for upload → translate → review → approve → audit flow; gate releases on this suite.</w:t>
      </w:r>
    </w:p>
    <w:p>
      <w:pPr>
        <w:pStyle w:val="ListParagraph"/>
        <w:numPr>
          <w:ilvl w:val="0"/>
          <w:numId w:val="2"/>
        </w:numPr>
        <w:spacing w:after="40" w:before="40" w:line="280"/>
      </w:pPr>
      <w:r>
        <w:rPr>
          <w:rFonts w:ascii="Arial" w:cs="Arial" w:eastAsia="Arial" w:hAnsi="Arial"/>
          <w:sz w:val="22"/>
          <w:szCs w:val="22"/>
        </w:rPr>
        <w:t xml:space="preserve">Apply CSP, HSTS, X-Frame-Options, Permissions-Policy headers via next.config.ts.</w:t>
      </w:r>
    </w:p>
    <w:p>
      <w:pPr>
        <w:pStyle w:val="Heading3"/>
        <w:spacing w:after="80" w:before="180"/>
      </w:pPr>
      <w:r>
        <w:rPr>
          <w:rFonts w:ascii="Arial" w:cs="Arial" w:eastAsia="Arial" w:hAnsi="Arial"/>
          <w:b/>
          <w:bCs/>
          <w:color w:val="595959"/>
        </w:rPr>
        <w:t xml:space="preserve">Pilot deliverables</w:t>
      </w:r>
    </w:p>
    <w:p>
      <w:pPr>
        <w:pStyle w:val="ListParagraph"/>
        <w:numPr>
          <w:ilvl w:val="0"/>
          <w:numId w:val="2"/>
        </w:numPr>
        <w:spacing w:after="40" w:before="40" w:line="280"/>
      </w:pPr>
      <w:r>
        <w:rPr>
          <w:rFonts w:ascii="Arial" w:cs="Arial" w:eastAsia="Arial" w:hAnsi="Arial"/>
          <w:sz w:val="22"/>
          <w:szCs w:val="22"/>
        </w:rPr>
        <w:t xml:space="preserve">Vendor security questionnaire response (CAIQ-Lite); signed DPA template; HIPAA BAA template; sub-processor list.</w:t>
      </w:r>
    </w:p>
    <w:p>
      <w:pPr>
        <w:pStyle w:val="ListParagraph"/>
        <w:numPr>
          <w:ilvl w:val="0"/>
          <w:numId w:val="2"/>
        </w:numPr>
        <w:spacing w:after="40" w:before="40" w:line="280"/>
      </w:pPr>
      <w:r>
        <w:rPr>
          <w:rFonts w:ascii="Arial" w:cs="Arial" w:eastAsia="Arial" w:hAnsi="Arial"/>
          <w:sz w:val="22"/>
          <w:szCs w:val="22"/>
        </w:rPr>
        <w:t xml:space="preserve">URS, FS, IQ, OQ, PQ scaffolding; release validation summary report template; risk-assessment template per ISPE GAMP 5 Category 4.</w:t>
      </w:r>
    </w:p>
    <w:p>
      <w:pPr>
        <w:pStyle w:val="ListParagraph"/>
        <w:numPr>
          <w:ilvl w:val="0"/>
          <w:numId w:val="2"/>
        </w:numPr>
        <w:spacing w:after="40" w:before="40" w:line="280"/>
      </w:pPr>
      <w:r>
        <w:rPr>
          <w:rFonts w:ascii="Arial" w:cs="Arial" w:eastAsia="Arial" w:hAnsi="Arial"/>
          <w:sz w:val="22"/>
          <w:szCs w:val="22"/>
        </w:rPr>
        <w:t xml:space="preserve">Two pilot pharma customers signed under a paid pilot agreement (€25,000–€75,000 per pilot).</w:t>
      </w:r>
    </w:p>
    <w:p>
      <w:pPr>
        <w:pStyle w:val="Heading2"/>
        <w:spacing w:after="120" w:before="240"/>
      </w:pPr>
      <w:r>
        <w:rPr>
          <w:rFonts w:ascii="Arial" w:cs="Arial" w:eastAsia="Arial" w:hAnsi="Arial"/>
          <w:b/>
          <w:bCs/>
          <w:color w:val="1F4E79"/>
        </w:rPr>
        <w:t xml:space="preserve">8.3 Phase 2 — Enterprise readiness (3–6 months)</w:t>
      </w:r>
    </w:p>
    <w:p>
      <w:pPr>
        <w:spacing w:after="100" w:before="80" w:line="300"/>
        <w:jc w:val="left"/>
      </w:pPr>
      <w:r>
        <w:rPr>
          <w:rFonts w:ascii="Arial" w:cs="Arial" w:eastAsia="Arial" w:hAnsi="Arial"/>
          <w:sz w:val="22"/>
          <w:szCs w:val="22"/>
        </w:rPr>
        <w:t xml:space="preserve">Goal: a transmax that a Tier-1 pharma can put through a normal vendor onboarding, including infosec review, DPIA, internal validation, change-control alignment and SOC 2 Type II evidence collection.</w:t>
      </w:r>
    </w:p>
    <w:p>
      <w:pPr>
        <w:pStyle w:val="Heading3"/>
        <w:spacing w:after="80" w:before="180"/>
      </w:pPr>
      <w:r>
        <w:rPr>
          <w:rFonts w:ascii="Arial" w:cs="Arial" w:eastAsia="Arial" w:hAnsi="Arial"/>
          <w:b/>
          <w:bCs/>
          <w:color w:val="595959"/>
        </w:rPr>
        <w:t xml:space="preserve">Compliance and certification</w:t>
      </w:r>
    </w:p>
    <w:p>
      <w:pPr>
        <w:pStyle w:val="ListParagraph"/>
        <w:numPr>
          <w:ilvl w:val="0"/>
          <w:numId w:val="2"/>
        </w:numPr>
        <w:spacing w:after="40" w:before="40" w:line="280"/>
      </w:pPr>
      <w:r>
        <w:rPr>
          <w:rFonts w:ascii="Arial" w:cs="Arial" w:eastAsia="Arial" w:hAnsi="Arial"/>
          <w:sz w:val="22"/>
          <w:szCs w:val="22"/>
        </w:rPr>
        <w:t xml:space="preserve">Engage a SOC 2 Type II auditor; begin 6-month evidence collection; map controls to ISO 27001 clauses in parallel; aim for ISO 27001 audit at the end of this window.</w:t>
      </w:r>
    </w:p>
    <w:p>
      <w:pPr>
        <w:pStyle w:val="ListParagraph"/>
        <w:numPr>
          <w:ilvl w:val="0"/>
          <w:numId w:val="2"/>
        </w:numPr>
        <w:spacing w:after="40" w:before="40" w:line="280"/>
      </w:pPr>
      <w:r>
        <w:rPr>
          <w:rFonts w:ascii="Arial" w:cs="Arial" w:eastAsia="Arial" w:hAnsi="Arial"/>
          <w:sz w:val="22"/>
          <w:szCs w:val="22"/>
        </w:rPr>
        <w:t xml:space="preserve">Publish ISO 17100 and ISO 18587 process documentation (translator and reviewer competence; revision procedure; full vs light post-editing).</w:t>
      </w:r>
    </w:p>
    <w:p>
      <w:pPr>
        <w:pStyle w:val="ListParagraph"/>
        <w:numPr>
          <w:ilvl w:val="0"/>
          <w:numId w:val="2"/>
        </w:numPr>
        <w:spacing w:after="40" w:before="40" w:line="280"/>
      </w:pPr>
      <w:r>
        <w:rPr>
          <w:rFonts w:ascii="Arial" w:cs="Arial" w:eastAsia="Arial" w:hAnsi="Arial"/>
          <w:sz w:val="22"/>
          <w:szCs w:val="22"/>
        </w:rPr>
        <w:t xml:space="preserve">Build the EU AI Act conformity-assessment package — technical documentation, model cards (per LLM, per language pair), risk-management system, post-market monitoring, instructions for use; ready for 2 August 2026 enforcement.</w:t>
      </w:r>
    </w:p>
    <w:p>
      <w:pPr>
        <w:pStyle w:val="ListParagraph"/>
        <w:numPr>
          <w:ilvl w:val="0"/>
          <w:numId w:val="2"/>
        </w:numPr>
        <w:spacing w:after="40" w:before="40" w:line="280"/>
      </w:pPr>
      <w:r>
        <w:rPr>
          <w:rFonts w:ascii="Arial" w:cs="Arial" w:eastAsia="Arial" w:hAnsi="Arial"/>
          <w:sz w:val="22"/>
          <w:szCs w:val="22"/>
        </w:rPr>
        <w:t xml:space="preserve">FDA AI/ML credibility framework: define context of use, run model risk assessment, build credibility plan, executed evidence, controls, post-market monitoring.</w:t>
      </w:r>
    </w:p>
    <w:p>
      <w:pPr>
        <w:pStyle w:val="Heading3"/>
        <w:spacing w:after="80" w:before="180"/>
      </w:pPr>
      <w:r>
        <w:rPr>
          <w:rFonts w:ascii="Arial" w:cs="Arial" w:eastAsia="Arial" w:hAnsi="Arial"/>
          <w:b/>
          <w:bCs/>
          <w:color w:val="595959"/>
        </w:rPr>
        <w:t xml:space="preserve">Regulatory enforcement</w:t>
      </w:r>
    </w:p>
    <w:p>
      <w:pPr>
        <w:pStyle w:val="ListParagraph"/>
        <w:numPr>
          <w:ilvl w:val="0"/>
          <w:numId w:val="2"/>
        </w:numPr>
        <w:spacing w:after="40" w:before="40" w:line="280"/>
      </w:pPr>
      <w:r>
        <w:rPr>
          <w:rFonts w:ascii="Arial" w:cs="Arial" w:eastAsia="Arial" w:hAnsi="Arial"/>
          <w:sz w:val="22"/>
          <w:szCs w:val="22"/>
        </w:rPr>
        <w:t xml:space="preserve">Implement EMA QRD validators that confirm SmPC / PIL section presence and order, in every supported language.</w:t>
      </w:r>
    </w:p>
    <w:p>
      <w:pPr>
        <w:pStyle w:val="ListParagraph"/>
        <w:numPr>
          <w:ilvl w:val="0"/>
          <w:numId w:val="2"/>
        </w:numPr>
        <w:spacing w:after="40" w:before="40" w:line="280"/>
      </w:pPr>
      <w:r>
        <w:rPr>
          <w:rFonts w:ascii="Arial" w:cs="Arial" w:eastAsia="Arial" w:hAnsi="Arial"/>
          <w:sz w:val="22"/>
          <w:szCs w:val="22"/>
        </w:rPr>
        <w:t xml:space="preserve">Subscribe to and integrate EDQM Standard Terms; lock terminology in the agent; expose drift reports as an artefact.</w:t>
      </w:r>
    </w:p>
    <w:p>
      <w:pPr>
        <w:pStyle w:val="ListParagraph"/>
        <w:numPr>
          <w:ilvl w:val="0"/>
          <w:numId w:val="2"/>
        </w:numPr>
        <w:spacing w:after="40" w:before="40" w:line="280"/>
      </w:pPr>
      <w:r>
        <w:rPr>
          <w:rFonts w:ascii="Arial" w:cs="Arial" w:eastAsia="Arial" w:hAnsi="Arial"/>
          <w:sz w:val="22"/>
          <w:szCs w:val="22"/>
        </w:rPr>
        <w:t xml:space="preserve">Map the data model to IDMP entities (medicinal product, packaged medicinal product, manufactured item, ingredient); build SPOR connector stubs.</w:t>
      </w:r>
    </w:p>
    <w:p>
      <w:pPr>
        <w:pStyle w:val="ListParagraph"/>
        <w:numPr>
          <w:ilvl w:val="0"/>
          <w:numId w:val="2"/>
        </w:numPr>
        <w:spacing w:after="40" w:before="40" w:line="280"/>
      </w:pPr>
      <w:r>
        <w:rPr>
          <w:rFonts w:ascii="Arial" w:cs="Arial" w:eastAsia="Arial" w:hAnsi="Arial"/>
          <w:sz w:val="22"/>
          <w:szCs w:val="22"/>
        </w:rPr>
        <w:t xml:space="preserve">Add MDR / IVDR labelling validators (UDI structure, language coverage by member state, IFU traceability).</w:t>
      </w:r>
    </w:p>
    <w:p>
      <w:pPr>
        <w:pStyle w:val="Heading3"/>
        <w:spacing w:after="80" w:before="180"/>
      </w:pPr>
      <w:r>
        <w:rPr>
          <w:rFonts w:ascii="Arial" w:cs="Arial" w:eastAsia="Arial" w:hAnsi="Arial"/>
          <w:b/>
          <w:bCs/>
          <w:color w:val="595959"/>
        </w:rPr>
        <w:t xml:space="preserve">Connectors</w:t>
      </w:r>
    </w:p>
    <w:p>
      <w:pPr>
        <w:pStyle w:val="ListParagraph"/>
        <w:numPr>
          <w:ilvl w:val="0"/>
          <w:numId w:val="2"/>
        </w:numPr>
        <w:spacing w:after="40" w:before="40" w:line="280"/>
      </w:pPr>
      <w:r>
        <w:rPr>
          <w:rFonts w:ascii="Arial" w:cs="Arial" w:eastAsia="Arial" w:hAnsi="Arial"/>
          <w:sz w:val="22"/>
          <w:szCs w:val="22"/>
        </w:rPr>
        <w:t xml:space="preserve">Veeva Vault PromoMats and RIM; SharePoint Online; Documentum (D2 / xCP); eCTD publishers (LORENZ docuBridge, Extedo, EXT-DM); SFTP and S3 watchfolders.</w:t>
      </w:r>
    </w:p>
    <w:p>
      <w:pPr>
        <w:pStyle w:val="ListParagraph"/>
        <w:numPr>
          <w:ilvl w:val="0"/>
          <w:numId w:val="2"/>
        </w:numPr>
        <w:spacing w:after="40" w:before="40" w:line="280"/>
      </w:pPr>
      <w:r>
        <w:rPr>
          <w:rFonts w:ascii="Arial" w:cs="Arial" w:eastAsia="Arial" w:hAnsi="Arial"/>
          <w:sz w:val="22"/>
          <w:szCs w:val="22"/>
        </w:rPr>
        <w:t xml:space="preserve">Connectors expose a uniform Source / Sink API; each ships with an integration test against a sandbox tenant.</w:t>
      </w:r>
    </w:p>
    <w:p>
      <w:pPr>
        <w:pStyle w:val="Heading3"/>
        <w:spacing w:after="80" w:before="180"/>
      </w:pPr>
      <w:r>
        <w:rPr>
          <w:rFonts w:ascii="Arial" w:cs="Arial" w:eastAsia="Arial" w:hAnsi="Arial"/>
          <w:b/>
          <w:bCs/>
          <w:color w:val="595959"/>
        </w:rPr>
        <w:t xml:space="preserve">Document handling</w:t>
      </w:r>
    </w:p>
    <w:p>
      <w:pPr>
        <w:pStyle w:val="ListParagraph"/>
        <w:numPr>
          <w:ilvl w:val="0"/>
          <w:numId w:val="2"/>
        </w:numPr>
        <w:spacing w:after="40" w:before="40" w:line="280"/>
      </w:pPr>
      <w:r>
        <w:rPr>
          <w:rFonts w:ascii="Arial" w:cs="Arial" w:eastAsia="Arial" w:hAnsi="Arial"/>
          <w:sz w:val="22"/>
          <w:szCs w:val="22"/>
        </w:rPr>
        <w:t xml:space="preserve">PDF ingestion with OCR (Tesseract / AWS Textract / Azure Document Intelligence) and table extraction; preserve page anchors for review-side highlight.</w:t>
      </w:r>
    </w:p>
    <w:p>
      <w:pPr>
        <w:pStyle w:val="ListParagraph"/>
        <w:numPr>
          <w:ilvl w:val="0"/>
          <w:numId w:val="2"/>
        </w:numPr>
        <w:spacing w:after="40" w:before="40" w:line="280"/>
      </w:pPr>
      <w:r>
        <w:rPr>
          <w:rFonts w:ascii="Arial" w:cs="Arial" w:eastAsia="Arial" w:hAnsi="Arial"/>
          <w:sz w:val="22"/>
          <w:szCs w:val="22"/>
        </w:rPr>
        <w:t xml:space="preserve">DOCX ingestion with tracked changes preservation; round-trip via styles map; export PDF/A-1b for archive.</w:t>
      </w:r>
    </w:p>
    <w:p>
      <w:pPr>
        <w:pStyle w:val="ListParagraph"/>
        <w:numPr>
          <w:ilvl w:val="0"/>
          <w:numId w:val="2"/>
        </w:numPr>
        <w:spacing w:after="40" w:before="40" w:line="280"/>
      </w:pPr>
      <w:r>
        <w:rPr>
          <w:rFonts w:ascii="Arial" w:cs="Arial" w:eastAsia="Arial" w:hAnsi="Arial"/>
          <w:sz w:val="22"/>
          <w:szCs w:val="22"/>
        </w:rPr>
        <w:t xml:space="preserve">XLIFF 2.1 in / out with metadata pass-through; TMX in / out for translation memory portability.</w:t>
      </w:r>
    </w:p>
    <w:p>
      <w:pPr>
        <w:pStyle w:val="Heading3"/>
        <w:spacing w:after="80" w:before="180"/>
      </w:pPr>
      <w:r>
        <w:rPr>
          <w:rFonts w:ascii="Arial" w:cs="Arial" w:eastAsia="Arial" w:hAnsi="Arial"/>
          <w:b/>
          <w:bCs/>
          <w:color w:val="595959"/>
        </w:rPr>
        <w:t xml:space="preserve">Operational</w:t>
      </w:r>
    </w:p>
    <w:p>
      <w:pPr>
        <w:pStyle w:val="ListParagraph"/>
        <w:numPr>
          <w:ilvl w:val="0"/>
          <w:numId w:val="2"/>
        </w:numPr>
        <w:spacing w:after="40" w:before="40" w:line="280"/>
      </w:pPr>
      <w:r>
        <w:rPr>
          <w:rFonts w:ascii="Arial" w:cs="Arial" w:eastAsia="Arial" w:hAnsi="Arial"/>
          <w:sz w:val="22"/>
          <w:szCs w:val="22"/>
        </w:rPr>
        <w:t xml:space="preserve">Helm chart and Terraform modules for AWS, Azure and GCP; per-region deployments (EU-Central, EU-West, US-East, US-West, AP-Southeast); customer-managed keys via KMS / Key Vault.</w:t>
      </w:r>
    </w:p>
    <w:p>
      <w:pPr>
        <w:pStyle w:val="ListParagraph"/>
        <w:numPr>
          <w:ilvl w:val="0"/>
          <w:numId w:val="2"/>
        </w:numPr>
        <w:spacing w:after="40" w:before="40" w:line="280"/>
      </w:pPr>
      <w:r>
        <w:rPr>
          <w:rFonts w:ascii="Arial" w:cs="Arial" w:eastAsia="Arial" w:hAnsi="Arial"/>
          <w:sz w:val="22"/>
          <w:szCs w:val="22"/>
        </w:rPr>
        <w:t xml:space="preserve">Per-tenant rate limiting and per-tenant cost ceilings on LLM calls; per-tenant model selection.</w:t>
      </w:r>
    </w:p>
    <w:p>
      <w:pPr>
        <w:pStyle w:val="ListParagraph"/>
        <w:numPr>
          <w:ilvl w:val="0"/>
          <w:numId w:val="2"/>
        </w:numPr>
        <w:spacing w:after="40" w:before="40" w:line="280"/>
      </w:pPr>
      <w:r>
        <w:rPr>
          <w:rFonts w:ascii="Arial" w:cs="Arial" w:eastAsia="Arial" w:hAnsi="Arial"/>
          <w:sz w:val="22"/>
          <w:szCs w:val="22"/>
        </w:rPr>
        <w:t xml:space="preserve">Disaster-recovery procedure with RPO ≤ 15 minutes and RTO ≤ 4 hours; quarterly DR drill artefacts.</w:t>
      </w:r>
    </w:p>
    <w:p>
      <w:pPr>
        <w:pStyle w:val="Heading3"/>
        <w:spacing w:after="80" w:before="180"/>
      </w:pPr>
      <w:r>
        <w:rPr>
          <w:rFonts w:ascii="Arial" w:cs="Arial" w:eastAsia="Arial" w:hAnsi="Arial"/>
          <w:b/>
          <w:bCs/>
          <w:color w:val="595959"/>
        </w:rPr>
        <w:t xml:space="preserve">Phase 2 deliverables</w:t>
      </w:r>
    </w:p>
    <w:p>
      <w:pPr>
        <w:pStyle w:val="ListParagraph"/>
        <w:numPr>
          <w:ilvl w:val="0"/>
          <w:numId w:val="2"/>
        </w:numPr>
        <w:spacing w:after="40" w:before="40" w:line="280"/>
      </w:pPr>
      <w:r>
        <w:rPr>
          <w:rFonts w:ascii="Arial" w:cs="Arial" w:eastAsia="Arial" w:hAnsi="Arial"/>
          <w:sz w:val="22"/>
          <w:szCs w:val="22"/>
        </w:rPr>
        <w:t xml:space="preserve">SOC 2 Type II report (in evidence-collection window) and ISO 27001 audit booked; HIPAA BAA-ready; GDPR DPA published.</w:t>
      </w:r>
    </w:p>
    <w:p>
      <w:pPr>
        <w:pStyle w:val="ListParagraph"/>
        <w:numPr>
          <w:ilvl w:val="0"/>
          <w:numId w:val="2"/>
        </w:numPr>
        <w:spacing w:after="40" w:before="40" w:line="280"/>
      </w:pPr>
      <w:r>
        <w:rPr>
          <w:rFonts w:ascii="Arial" w:cs="Arial" w:eastAsia="Arial" w:hAnsi="Arial"/>
          <w:sz w:val="22"/>
          <w:szCs w:val="22"/>
        </w:rPr>
        <w:t xml:space="preserve">Three referenceable pharma customers in production; one CRO; one medical-device manufacturer.</w:t>
      </w:r>
    </w:p>
    <w:p>
      <w:pPr>
        <w:pStyle w:val="Heading2"/>
        <w:spacing w:after="120" w:before="240"/>
      </w:pPr>
      <w:r>
        <w:rPr>
          <w:rFonts w:ascii="Arial" w:cs="Arial" w:eastAsia="Arial" w:hAnsi="Arial"/>
          <w:b/>
          <w:bCs/>
          <w:color w:val="1F4E79"/>
        </w:rPr>
        <w:t xml:space="preserve">8.4 Phase 3 — Differentiated agentic platform (6–12 months)</w:t>
      </w:r>
    </w:p>
    <w:p>
      <w:pPr>
        <w:spacing w:after="100" w:before="80" w:line="300"/>
        <w:jc w:val="left"/>
      </w:pPr>
      <w:r>
        <w:rPr>
          <w:rFonts w:ascii="Arial" w:cs="Arial" w:eastAsia="Arial" w:hAnsi="Arial"/>
          <w:sz w:val="22"/>
          <w:szCs w:val="22"/>
        </w:rPr>
        <w:t xml:space="preserve">Goal: a platform whose differentiation is no longer 'we are pharma-grade' but 'we are the agentic standard for regulated content'.</w:t>
      </w:r>
    </w:p>
    <w:p>
      <w:pPr>
        <w:pStyle w:val="Heading3"/>
        <w:spacing w:after="80" w:before="180"/>
      </w:pPr>
      <w:r>
        <w:rPr>
          <w:rFonts w:ascii="Arial" w:cs="Arial" w:eastAsia="Arial" w:hAnsi="Arial"/>
          <w:b/>
          <w:bCs/>
          <w:color w:val="595959"/>
        </w:rPr>
        <w:t xml:space="preserve">Multi-agent agent fabric</w:t>
      </w:r>
    </w:p>
    <w:p>
      <w:pPr>
        <w:pStyle w:val="ListParagraph"/>
        <w:numPr>
          <w:ilvl w:val="0"/>
          <w:numId w:val="2"/>
        </w:numPr>
        <w:spacing w:after="40" w:before="40" w:line="280"/>
      </w:pPr>
      <w:r>
        <w:rPr>
          <w:rFonts w:ascii="Arial" w:cs="Arial" w:eastAsia="Arial" w:hAnsi="Arial"/>
          <w:sz w:val="22"/>
          <w:szCs w:val="22"/>
        </w:rPr>
        <w:t xml:space="preserve">Move from one LangGraph graph to a fleet of named agents: TranslatorAgent, TerminologyAgent, RegulatoryAgent, ReviewerAgent, BackTranslatorAgent, PostEditorAgent, ToneAgent, LinguisticValidator, RegulatoryWriterAgent. Each is independently versioned, instrumented, and signed; each emits structured evidence.</w:t>
      </w:r>
    </w:p>
    <w:p>
      <w:pPr>
        <w:pStyle w:val="ListParagraph"/>
        <w:numPr>
          <w:ilvl w:val="0"/>
          <w:numId w:val="2"/>
        </w:numPr>
        <w:spacing w:after="40" w:before="40" w:line="280"/>
      </w:pPr>
      <w:r>
        <w:rPr>
          <w:rFonts w:ascii="Arial" w:cs="Arial" w:eastAsia="Arial" w:hAnsi="Arial"/>
          <w:sz w:val="22"/>
          <w:szCs w:val="22"/>
        </w:rPr>
        <w:t xml:space="preserve">Add a deterministic agent-router that picks LLM by language pair, content type, regulatory profile and customer cost ceiling. Plug ModernMT for adaptive MT, Anthropic Claude / OpenAI for reasoning-intensive nodes, DeepL for high-confidence pairs.</w:t>
      </w:r>
    </w:p>
    <w:p>
      <w:pPr>
        <w:pStyle w:val="ListParagraph"/>
        <w:numPr>
          <w:ilvl w:val="0"/>
          <w:numId w:val="2"/>
        </w:numPr>
        <w:spacing w:after="40" w:before="40" w:line="280"/>
      </w:pPr>
      <w:r>
        <w:rPr>
          <w:rFonts w:ascii="Arial" w:cs="Arial" w:eastAsia="Arial" w:hAnsi="Arial"/>
          <w:sz w:val="22"/>
          <w:szCs w:val="22"/>
        </w:rPr>
        <w:t xml:space="preserve">Continuous learning closed loop: reviewer edits feed an offline training pipeline that produces per-tenant LoRA adapters or prompt-tuning packs; promotion remains human-signed.</w:t>
      </w:r>
    </w:p>
    <w:p>
      <w:pPr>
        <w:pStyle w:val="Heading3"/>
        <w:spacing w:after="80" w:before="180"/>
      </w:pPr>
      <w:r>
        <w:rPr>
          <w:rFonts w:ascii="Arial" w:cs="Arial" w:eastAsia="Arial" w:hAnsi="Arial"/>
          <w:b/>
          <w:bCs/>
          <w:color w:val="595959"/>
        </w:rPr>
        <w:t xml:space="preserve">Linguistic validation as code</w:t>
      </w:r>
    </w:p>
    <w:p>
      <w:pPr>
        <w:pStyle w:val="ListParagraph"/>
        <w:numPr>
          <w:ilvl w:val="0"/>
          <w:numId w:val="2"/>
        </w:numPr>
        <w:spacing w:after="40" w:before="40" w:line="280"/>
      </w:pPr>
      <w:r>
        <w:rPr>
          <w:rFonts w:ascii="Arial" w:cs="Arial" w:eastAsia="Arial" w:hAnsi="Arial"/>
          <w:sz w:val="22"/>
          <w:szCs w:val="22"/>
        </w:rPr>
        <w:t xml:space="preserve">Implement the ISPOR linguistic-validation workflow as an opinionated graph: forward translation, reconciliation, back translation, comparative review, cognitive debriefing, harmonisation, proofreading, sign-off; each step signed.</w:t>
      </w:r>
    </w:p>
    <w:p>
      <w:pPr>
        <w:pStyle w:val="ListParagraph"/>
        <w:numPr>
          <w:ilvl w:val="0"/>
          <w:numId w:val="2"/>
        </w:numPr>
        <w:spacing w:after="40" w:before="40" w:line="280"/>
      </w:pPr>
      <w:r>
        <w:rPr>
          <w:rFonts w:ascii="Arial" w:cs="Arial" w:eastAsia="Arial" w:hAnsi="Arial"/>
          <w:sz w:val="22"/>
          <w:szCs w:val="22"/>
        </w:rPr>
        <w:t xml:space="preserve">Cognitive debriefing capture as a structured form linked to a session recording reference; export auditable bundle for COA / PRO submissions.</w:t>
      </w:r>
    </w:p>
    <w:p>
      <w:pPr>
        <w:pStyle w:val="Heading3"/>
        <w:spacing w:after="80" w:before="180"/>
      </w:pPr>
      <w:r>
        <w:rPr>
          <w:rFonts w:ascii="Arial" w:cs="Arial" w:eastAsia="Arial" w:hAnsi="Arial"/>
          <w:b/>
          <w:bCs/>
          <w:color w:val="595959"/>
        </w:rPr>
        <w:t xml:space="preserve">Frontend depth</w:t>
      </w:r>
    </w:p>
    <w:p>
      <w:pPr>
        <w:pStyle w:val="ListParagraph"/>
        <w:numPr>
          <w:ilvl w:val="0"/>
          <w:numId w:val="2"/>
        </w:numPr>
        <w:spacing w:after="40" w:before="40" w:line="280"/>
      </w:pPr>
      <w:r>
        <w:rPr>
          <w:rFonts w:ascii="Arial" w:cs="Arial" w:eastAsia="Arial" w:hAnsi="Arial"/>
          <w:sz w:val="22"/>
          <w:szCs w:val="22"/>
        </w:rPr>
        <w:t xml:space="preserve">Bilingual review canvas with synchronised scrolling, term-bank tooltips, defect annotations on spans, comments, suggested-edit threads, full keyboard nav, undo / redo with audit, segment-status colour scale conforming to WCAG AA.</w:t>
      </w:r>
    </w:p>
    <w:p>
      <w:pPr>
        <w:pStyle w:val="ListParagraph"/>
        <w:numPr>
          <w:ilvl w:val="0"/>
          <w:numId w:val="2"/>
        </w:numPr>
        <w:spacing w:after="40" w:before="40" w:line="280"/>
      </w:pPr>
      <w:r>
        <w:rPr>
          <w:rFonts w:ascii="Arial" w:cs="Arial" w:eastAsia="Arial" w:hAnsi="Arial"/>
          <w:sz w:val="22"/>
          <w:szCs w:val="22"/>
        </w:rPr>
        <w:t xml:space="preserve">Reviewer comparison view (alternative model outputs side-by-side); confidence-weighted diff; explanation-for-edit field for the audit trail.</w:t>
      </w:r>
    </w:p>
    <w:p>
      <w:pPr>
        <w:pStyle w:val="ListParagraph"/>
        <w:numPr>
          <w:ilvl w:val="0"/>
          <w:numId w:val="2"/>
        </w:numPr>
        <w:spacing w:after="40" w:before="40" w:line="280"/>
      </w:pPr>
      <w:r>
        <w:rPr>
          <w:rFonts w:ascii="Arial" w:cs="Arial" w:eastAsia="Arial" w:hAnsi="Arial"/>
          <w:sz w:val="22"/>
          <w:szCs w:val="22"/>
        </w:rPr>
        <w:t xml:space="preserve">Internationalised UI (next-intl) with English, German, French, Spanish, Italian, Portuguese, Japanese; RTL for Arabic and Hebrew.</w:t>
      </w:r>
    </w:p>
    <w:p>
      <w:pPr>
        <w:pStyle w:val="ListParagraph"/>
        <w:numPr>
          <w:ilvl w:val="0"/>
          <w:numId w:val="2"/>
        </w:numPr>
        <w:spacing w:after="40" w:before="40" w:line="280"/>
      </w:pPr>
      <w:r>
        <w:rPr>
          <w:rFonts w:ascii="Arial" w:cs="Arial" w:eastAsia="Arial" w:hAnsi="Arial"/>
          <w:sz w:val="22"/>
          <w:szCs w:val="22"/>
        </w:rPr>
        <w:t xml:space="preserve">Mobile-responsive read-only review and approval surface for executives.</w:t>
      </w:r>
    </w:p>
    <w:p>
      <w:pPr>
        <w:pStyle w:val="Heading3"/>
        <w:spacing w:after="80" w:before="180"/>
      </w:pPr>
      <w:r>
        <w:rPr>
          <w:rFonts w:ascii="Arial" w:cs="Arial" w:eastAsia="Arial" w:hAnsi="Arial"/>
          <w:b/>
          <w:bCs/>
          <w:color w:val="595959"/>
        </w:rPr>
        <w:t xml:space="preserve">Platform</w:t>
      </w:r>
    </w:p>
    <w:p>
      <w:pPr>
        <w:pStyle w:val="ListParagraph"/>
        <w:numPr>
          <w:ilvl w:val="0"/>
          <w:numId w:val="2"/>
        </w:numPr>
        <w:spacing w:after="40" w:before="40" w:line="280"/>
      </w:pPr>
      <w:r>
        <w:rPr>
          <w:rFonts w:ascii="Arial" w:cs="Arial" w:eastAsia="Arial" w:hAnsi="Arial"/>
          <w:sz w:val="22"/>
          <w:szCs w:val="22"/>
        </w:rPr>
        <w:t xml:space="preserve">Public REST API v2 with OAuth 2.1, Webhooks, MCP server (already prototyped) and a SDK shipped on PyPI and npm; example notebooks for clinical and regulatory teams.</w:t>
      </w:r>
    </w:p>
    <w:p>
      <w:pPr>
        <w:pStyle w:val="ListParagraph"/>
        <w:numPr>
          <w:ilvl w:val="0"/>
          <w:numId w:val="2"/>
        </w:numPr>
        <w:spacing w:after="40" w:before="40" w:line="280"/>
      </w:pPr>
      <w:r>
        <w:rPr>
          <w:rFonts w:ascii="Arial" w:cs="Arial" w:eastAsia="Arial" w:hAnsi="Arial"/>
          <w:sz w:val="22"/>
          <w:szCs w:val="22"/>
        </w:rPr>
        <w:t xml:space="preserve">Marketplace of regulatory profile packs (EMA, FDA, MHRA, PMDA, NMPA, ANVISA, TGA, MFDS); each pack ships with QRD validators and standard-term enforcement; partner-built packs allowed.</w:t>
      </w:r>
    </w:p>
    <w:p>
      <w:pPr>
        <w:pStyle w:val="ListParagraph"/>
        <w:numPr>
          <w:ilvl w:val="0"/>
          <w:numId w:val="2"/>
        </w:numPr>
        <w:spacing w:after="40" w:before="40" w:line="280"/>
      </w:pPr>
      <w:r>
        <w:rPr>
          <w:rFonts w:ascii="Arial" w:cs="Arial" w:eastAsia="Arial" w:hAnsi="Arial"/>
          <w:sz w:val="22"/>
          <w:szCs w:val="22"/>
        </w:rPr>
        <w:t xml:space="preserve">Customer-managed encryption with hardware-security-module-backed keys; per-tenant cryptographic anchoring of the audit ledger.</w:t>
      </w:r>
    </w:p>
    <w:p>
      <w:pPr>
        <w:pStyle w:val="Heading3"/>
        <w:spacing w:after="80" w:before="180"/>
      </w:pPr>
      <w:r>
        <w:rPr>
          <w:rFonts w:ascii="Arial" w:cs="Arial" w:eastAsia="Arial" w:hAnsi="Arial"/>
          <w:b/>
          <w:bCs/>
          <w:color w:val="595959"/>
        </w:rPr>
        <w:t xml:space="preserve">Phase 3 deliverables</w:t>
      </w:r>
    </w:p>
    <w:p>
      <w:pPr>
        <w:pStyle w:val="ListParagraph"/>
        <w:numPr>
          <w:ilvl w:val="0"/>
          <w:numId w:val="2"/>
        </w:numPr>
        <w:spacing w:after="40" w:before="40" w:line="280"/>
      </w:pPr>
      <w:r>
        <w:rPr>
          <w:rFonts w:ascii="Arial" w:cs="Arial" w:eastAsia="Arial" w:hAnsi="Arial"/>
          <w:sz w:val="22"/>
          <w:szCs w:val="22"/>
        </w:rPr>
        <w:t xml:space="preserve">ISO 27001 certified; SOC 2 Type II issued; ISO 13485 audit booked; ISO 17100 / 18587 certified; HIPAA BAA at scale; EU AI Act conformity package published.</w:t>
      </w:r>
    </w:p>
    <w:p>
      <w:pPr>
        <w:pStyle w:val="ListParagraph"/>
        <w:numPr>
          <w:ilvl w:val="0"/>
          <w:numId w:val="2"/>
        </w:numPr>
        <w:spacing w:after="40" w:before="40" w:line="280"/>
      </w:pPr>
      <w:r>
        <w:rPr>
          <w:rFonts w:ascii="Arial" w:cs="Arial" w:eastAsia="Arial" w:hAnsi="Arial"/>
          <w:sz w:val="22"/>
          <w:szCs w:val="22"/>
        </w:rPr>
        <w:t xml:space="preserve">Five-plus referenceable Tier-1 pharma customers; one or two regulators (EMA / FDA / MHRA / EDQM) using transmax internally for translation review.</w:t>
      </w:r>
    </w:p>
    <w:p>
      <w:pPr>
        <w:pStyle w:val="Heading2"/>
        <w:spacing w:after="120" w:before="240"/>
      </w:pPr>
      <w:r>
        <w:rPr>
          <w:rFonts w:ascii="Arial" w:cs="Arial" w:eastAsia="Arial" w:hAnsi="Arial"/>
          <w:b/>
          <w:bCs/>
          <w:color w:val="1F4E79"/>
        </w:rPr>
        <w:t xml:space="preserve">8.5 Phase 4 — Category leadership (12–24 months)</w:t>
      </w:r>
    </w:p>
    <w:p>
      <w:pPr>
        <w:spacing w:after="100" w:before="80" w:line="300"/>
        <w:jc w:val="left"/>
      </w:pPr>
      <w:r>
        <w:rPr>
          <w:rFonts w:ascii="Arial" w:cs="Arial" w:eastAsia="Arial" w:hAnsi="Arial"/>
          <w:sz w:val="22"/>
          <w:szCs w:val="22"/>
        </w:rPr>
        <w:t xml:space="preserve">Goal: a platform that is the default choice for translating any regulated content in life sciences.</w:t>
      </w:r>
    </w:p>
    <w:p>
      <w:pPr>
        <w:pStyle w:val="ListParagraph"/>
        <w:numPr>
          <w:ilvl w:val="0"/>
          <w:numId w:val="2"/>
        </w:numPr>
        <w:spacing w:after="40" w:before="40" w:line="280"/>
      </w:pPr>
      <w:r>
        <w:rPr>
          <w:rFonts w:ascii="Arial" w:cs="Arial" w:eastAsia="Arial" w:hAnsi="Arial"/>
          <w:sz w:val="22"/>
          <w:szCs w:val="22"/>
        </w:rPr>
        <w:t xml:space="preserve">Vertical extensions: medical-device IFU, in-vitro diagnostic labelling, animal-health product information, cosmetic regulatory translation, clinical-trial protocol localisation, ethics-committee submission packs.</w:t>
      </w:r>
    </w:p>
    <w:p>
      <w:pPr>
        <w:pStyle w:val="ListParagraph"/>
        <w:numPr>
          <w:ilvl w:val="0"/>
          <w:numId w:val="2"/>
        </w:numPr>
        <w:spacing w:after="40" w:before="40" w:line="280"/>
      </w:pPr>
      <w:r>
        <w:rPr>
          <w:rFonts w:ascii="Arial" w:cs="Arial" w:eastAsia="Arial" w:hAnsi="Arial"/>
          <w:sz w:val="22"/>
          <w:szCs w:val="22"/>
        </w:rPr>
        <w:t xml:space="preserve">Regulator-grade public attestation: cryptographic anchoring of audit roots to a public ledger; third-party annual attestation that the chain has not been broken.</w:t>
      </w:r>
    </w:p>
    <w:p>
      <w:pPr>
        <w:pStyle w:val="ListParagraph"/>
        <w:numPr>
          <w:ilvl w:val="0"/>
          <w:numId w:val="2"/>
        </w:numPr>
        <w:spacing w:after="40" w:before="40" w:line="280"/>
      </w:pPr>
      <w:r>
        <w:rPr>
          <w:rFonts w:ascii="Arial" w:cs="Arial" w:eastAsia="Arial" w:hAnsi="Arial"/>
          <w:sz w:val="22"/>
          <w:szCs w:val="22"/>
        </w:rPr>
        <w:t xml:space="preserve">AI-act-grade post-market monitoring dashboards; per-customer drift detection; automatic recall of regressed prompts.</w:t>
      </w:r>
    </w:p>
    <w:p>
      <w:pPr>
        <w:pStyle w:val="ListParagraph"/>
        <w:numPr>
          <w:ilvl w:val="0"/>
          <w:numId w:val="2"/>
        </w:numPr>
        <w:spacing w:after="40" w:before="40" w:line="280"/>
      </w:pPr>
      <w:r>
        <w:rPr>
          <w:rFonts w:ascii="Arial" w:cs="Arial" w:eastAsia="Arial" w:hAnsi="Arial"/>
          <w:sz w:val="22"/>
          <w:szCs w:val="22"/>
        </w:rPr>
        <w:t xml:space="preserve">Regulatory writing: extend the agent fleet to drafting and editing regulatory text (Module 2.5, IB updates, lay summaries). Translation becomes a feature, not the product.</w:t>
      </w:r>
    </w:p>
    <w:p>
      <w:pPr>
        <w:pStyle w:val="ListParagraph"/>
        <w:numPr>
          <w:ilvl w:val="0"/>
          <w:numId w:val="2"/>
        </w:numPr>
        <w:spacing w:after="40" w:before="40" w:line="280"/>
      </w:pPr>
      <w:r>
        <w:rPr>
          <w:rFonts w:ascii="Arial" w:cs="Arial" w:eastAsia="Arial" w:hAnsi="Arial"/>
          <w:sz w:val="22"/>
          <w:szCs w:val="22"/>
        </w:rPr>
        <w:t xml:space="preserve">Acquisitions: consider tucking in a small linguistic-validation specialist for COA / PRO depth; or partnering with a regulatory writing AI vendor (Narrativa, Yseop) for joint solutions.</w:t>
      </w:r>
    </w:p>
    <w:p>
      <w:pPr>
        <w:pStyle w:val="Heading1"/>
        <w:pageBreakBefore/>
        <w:spacing w:after="200" w:before="240"/>
      </w:pPr>
      <w:r>
        <w:rPr>
          <w:rFonts w:ascii="Arial" w:cs="Arial" w:eastAsia="Arial" w:hAnsi="Arial"/>
          <w:b/>
          <w:bCs/>
          <w:color w:val="1F4E79"/>
        </w:rPr>
        <w:t xml:space="preserve">9. KPIs and Validation Plan</w:t>
      </w:r>
    </w:p>
    <w:p>
      <w:pPr>
        <w:spacing w:after="100" w:before="80" w:line="300"/>
        <w:jc w:val="left"/>
      </w:pPr>
      <w:r>
        <w:rPr>
          <w:rFonts w:ascii="Arial" w:cs="Arial" w:eastAsia="Arial" w:hAnsi="Arial"/>
          <w:sz w:val="22"/>
          <w:szCs w:val="22"/>
        </w:rPr>
        <w:t xml:space="preserve">Every phase ships a measurable artefact. The KPIs below are the ones a pharma buyer will ask about and the ones an investor will track.</w:t>
      </w:r>
    </w:p>
    <w:p>
      <w:pPr>
        <w:pStyle w:val="Heading2"/>
        <w:spacing w:after="120" w:before="240"/>
      </w:pPr>
      <w:r>
        <w:rPr>
          <w:rFonts w:ascii="Arial" w:cs="Arial" w:eastAsia="Arial" w:hAnsi="Arial"/>
          <w:b/>
          <w:bCs/>
          <w:color w:val="1F4E79"/>
        </w:rPr>
        <w:t xml:space="preserve">9.1 Engineering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20"/>
        <w:gridCol w:w="1620"/>
        <w:gridCol w:w="162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KPI</w:t>
            </w:r>
          </w:p>
        </w:tc>
        <w:tc>
          <w:tcPr>
            <w:tcW w:type="dxa" w:w="15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Today</w:t>
            </w:r>
          </w:p>
        </w:tc>
        <w:tc>
          <w:tcPr>
            <w:tcW w:type="dxa" w:w="162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Phase 1 target</w:t>
            </w:r>
          </w:p>
        </w:tc>
        <w:tc>
          <w:tcPr>
            <w:tcW w:type="dxa" w:w="162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Phase 2 target</w:t>
            </w:r>
          </w:p>
        </w:tc>
        <w:tc>
          <w:tcPr>
            <w:tcW w:type="dxa" w:w="162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Phase 3 target</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Frontend build pass rate</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0%</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100%</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100%</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100%</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Test suite line coverage (backend)</w:t>
            </w:r>
          </w:p>
        </w:tc>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Unmeasured</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70%</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80%</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85%</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Mean time to ship validated release</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Unknown</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4 weeks</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2 weeks</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1 week</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Audit-chain verification time (1M events)</w:t>
            </w:r>
          </w:p>
        </w:tc>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Unknown</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60s</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30s</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10s</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P95 translate-and-review latency (1k-word doc, 5 langs)</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Unknown</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10 min</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5 min</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3 min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Vendor security questionnaire pass rate</w:t>
            </w:r>
          </w:p>
        </w:tc>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0%</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80%</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95%</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100%</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Critical CVEs &gt; 7 days unpatched</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Unknown</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0</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0</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0</w:t>
            </w:r>
          </w:p>
        </w:tc>
      </w:tr>
    </w:tbl>
    <w:p>
      <w:pPr>
        <w:pStyle w:val="Heading2"/>
        <w:spacing w:after="120" w:before="240"/>
      </w:pPr>
      <w:r>
        <w:rPr>
          <w:rFonts w:ascii="Arial" w:cs="Arial" w:eastAsia="Arial" w:hAnsi="Arial"/>
          <w:b/>
          <w:bCs/>
          <w:color w:val="1F4E79"/>
        </w:rPr>
        <w:t xml:space="preserve">9.2 Quality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20"/>
        <w:gridCol w:w="1620"/>
        <w:gridCol w:w="162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KPI</w:t>
            </w:r>
          </w:p>
        </w:tc>
        <w:tc>
          <w:tcPr>
            <w:tcW w:type="dxa" w:w="15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Today</w:t>
            </w:r>
          </w:p>
        </w:tc>
        <w:tc>
          <w:tcPr>
            <w:tcW w:type="dxa" w:w="162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Phase 1</w:t>
            </w:r>
          </w:p>
        </w:tc>
        <w:tc>
          <w:tcPr>
            <w:tcW w:type="dxa" w:w="162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Phase 2</w:t>
            </w:r>
          </w:p>
        </w:tc>
        <w:tc>
          <w:tcPr>
            <w:tcW w:type="dxa" w:w="162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Phase 3</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Critical defects per 1,000 segments</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Unmeasured</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2</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0.5</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0.1</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Reviewer post-edit distance (TER)</w:t>
            </w:r>
          </w:p>
        </w:tc>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Unmeasured</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35%</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25%</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15%</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Linguistic validation pass on first run</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N/A</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60%</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75%</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85%</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Terminology lock fidelity</w:t>
            </w:r>
          </w:p>
        </w:tc>
        <w:tc>
          <w:tcPr>
            <w:tcW w:type="dxa" w:w="1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Unknown</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95%</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99%</w:t>
            </w:r>
          </w:p>
        </w:tc>
        <w:tc>
          <w:tcPr>
            <w:tcW w:type="dxa" w:w="162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99.5%</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Reviewer NPS</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Unknown</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30</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50</w:t>
            </w:r>
          </w:p>
        </w:tc>
        <w:tc>
          <w:tcPr>
            <w:tcW w:type="dxa" w:w="16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 60</w:t>
            </w:r>
          </w:p>
        </w:tc>
      </w:tr>
    </w:tbl>
    <w:p>
      <w:pPr>
        <w:pStyle w:val="Heading2"/>
        <w:spacing w:after="120" w:before="240"/>
      </w:pPr>
      <w:r>
        <w:rPr>
          <w:rFonts w:ascii="Arial" w:cs="Arial" w:eastAsia="Arial" w:hAnsi="Arial"/>
          <w:b/>
          <w:bCs/>
          <w:color w:val="1F4E79"/>
        </w:rPr>
        <w:t xml:space="preserve">9.3 Commercial KPIs</w:t>
      </w:r>
    </w:p>
    <w:p>
      <w:pPr>
        <w:pStyle w:val="ListParagraph"/>
        <w:numPr>
          <w:ilvl w:val="0"/>
          <w:numId w:val="2"/>
        </w:numPr>
        <w:spacing w:after="40" w:before="40" w:line="280"/>
      </w:pPr>
      <w:r>
        <w:rPr>
          <w:rFonts w:ascii="Arial" w:cs="Arial" w:eastAsia="Arial" w:hAnsi="Arial"/>
          <w:sz w:val="22"/>
          <w:szCs w:val="22"/>
        </w:rPr>
        <w:t xml:space="preserve">Phase 1: 2 paid pilots signed at €25,000–€75,000 ARR each.</w:t>
      </w:r>
    </w:p>
    <w:p>
      <w:pPr>
        <w:pStyle w:val="ListParagraph"/>
        <w:numPr>
          <w:ilvl w:val="0"/>
          <w:numId w:val="2"/>
        </w:numPr>
        <w:spacing w:after="40" w:before="40" w:line="280"/>
      </w:pPr>
      <w:r>
        <w:rPr>
          <w:rFonts w:ascii="Arial" w:cs="Arial" w:eastAsia="Arial" w:hAnsi="Arial"/>
          <w:sz w:val="22"/>
          <w:szCs w:val="22"/>
        </w:rPr>
        <w:t xml:space="preserve">Phase 2: 5 production customers; €1–€2.5M ARR; 1 named reference per use case.</w:t>
      </w:r>
    </w:p>
    <w:p>
      <w:pPr>
        <w:pStyle w:val="ListParagraph"/>
        <w:numPr>
          <w:ilvl w:val="0"/>
          <w:numId w:val="2"/>
        </w:numPr>
        <w:spacing w:after="40" w:before="40" w:line="280"/>
      </w:pPr>
      <w:r>
        <w:rPr>
          <w:rFonts w:ascii="Arial" w:cs="Arial" w:eastAsia="Arial" w:hAnsi="Arial"/>
          <w:sz w:val="22"/>
          <w:szCs w:val="22"/>
        </w:rPr>
        <w:t xml:space="preserve">Phase 3: €5–€10M ARR; 80% gross margin; net revenue retention ≥ 115%.</w:t>
      </w:r>
    </w:p>
    <w:p>
      <w:pPr>
        <w:pStyle w:val="ListParagraph"/>
        <w:numPr>
          <w:ilvl w:val="0"/>
          <w:numId w:val="2"/>
        </w:numPr>
        <w:spacing w:after="40" w:before="40" w:line="280"/>
      </w:pPr>
      <w:r>
        <w:rPr>
          <w:rFonts w:ascii="Arial" w:cs="Arial" w:eastAsia="Arial" w:hAnsi="Arial"/>
          <w:sz w:val="22"/>
          <w:szCs w:val="22"/>
        </w:rPr>
        <w:t xml:space="preserve">Phase 4: €20–€40M ARR; 3 publicly named Tier-1 references; 1 regulator using internally.</w:t>
      </w:r>
    </w:p>
    <w:p>
      <w:pPr>
        <w:pStyle w:val="Heading1"/>
        <w:pageBreakBefore/>
        <w:spacing w:after="200" w:before="240"/>
      </w:pPr>
      <w:r>
        <w:rPr>
          <w:rFonts w:ascii="Arial" w:cs="Arial" w:eastAsia="Arial" w:hAnsi="Arial"/>
          <w:b/>
          <w:bCs/>
          <w:color w:val="1F4E79"/>
        </w:rPr>
        <w:t xml:space="preserve">10. Investment, Operating Model and Risks</w:t>
      </w:r>
    </w:p>
    <w:p>
      <w:pPr>
        <w:pStyle w:val="Heading2"/>
        <w:spacing w:after="120" w:before="240"/>
      </w:pPr>
      <w:r>
        <w:rPr>
          <w:rFonts w:ascii="Arial" w:cs="Arial" w:eastAsia="Arial" w:hAnsi="Arial"/>
          <w:b/>
          <w:bCs/>
          <w:color w:val="1F4E79"/>
        </w:rPr>
        <w:t xml:space="preserve">10.1 Investment envelope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900"/>
        <w:gridCol w:w="19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Phase</w:t>
            </w:r>
          </w:p>
        </w:tc>
        <w:tc>
          <w:tcPr>
            <w:tcW w:type="dxa" w:w="30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Headcount</w:t>
            </w:r>
          </w:p>
        </w:tc>
        <w:tc>
          <w:tcPr>
            <w:tcW w:type="dxa" w:w="19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Duration</w:t>
            </w:r>
          </w:p>
        </w:tc>
        <w:tc>
          <w:tcPr>
            <w:tcW w:type="dxa" w:w="19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Indicative spend</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0 — Stop the bleeding</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Existing team</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2 weeks</w:t>
            </w:r>
          </w:p>
        </w:tc>
        <w:tc>
          <w:tcPr>
            <w:tcW w:type="dxa" w:w="1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Internal</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 — Pharma MVP foundations</w:t>
            </w:r>
          </w:p>
        </w:tc>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10 eng + 2 QA + 1 Reg + 1 Design + 1 PM + 0.5 SecEng</w:t>
            </w:r>
          </w:p>
        </w:tc>
        <w:tc>
          <w:tcPr>
            <w:tcW w:type="dxa" w:w="1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90 days</w:t>
            </w:r>
          </w:p>
        </w:tc>
        <w:tc>
          <w:tcPr>
            <w:tcW w:type="dxa" w:w="19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€0.6–€0.9M</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2 — Enterprise readiness</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+5 eng + 1 PM + 1 GTM + 1 CSM</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3–6 months after Phase 1</w:t>
            </w:r>
          </w:p>
        </w:tc>
        <w:tc>
          <w:tcPr>
            <w:tcW w:type="dxa" w:w="1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€1.2–€1.8M (incl. SOC 2 / ISO audits)</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3 — Differentiated platform</w:t>
            </w:r>
          </w:p>
        </w:tc>
        <w:tc>
          <w:tcPr>
            <w:tcW w:type="dxa" w:w="30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30+ FTE total</w:t>
            </w:r>
          </w:p>
        </w:tc>
        <w:tc>
          <w:tcPr>
            <w:tcW w:type="dxa" w:w="19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6–12 months after Phase 2</w:t>
            </w:r>
          </w:p>
        </w:tc>
        <w:tc>
          <w:tcPr>
            <w:tcW w:type="dxa" w:w="19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€3–€5M</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4 — Category leadership</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60+ FTE</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12–24 months later</w:t>
            </w:r>
          </w:p>
        </w:tc>
        <w:tc>
          <w:tcPr>
            <w:tcW w:type="dxa" w:w="1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€8–€15M (incl. tuck-in M&amp;A)</w:t>
            </w:r>
          </w:p>
        </w:tc>
      </w:tr>
    </w:tbl>
    <w:p>
      <w:pPr>
        <w:pStyle w:val="Heading2"/>
        <w:spacing w:after="120" w:before="240"/>
      </w:pPr>
      <w:r>
        <w:rPr>
          <w:rFonts w:ascii="Arial" w:cs="Arial" w:eastAsia="Arial" w:hAnsi="Arial"/>
          <w:b/>
          <w:bCs/>
          <w:color w:val="1F4E79"/>
        </w:rPr>
        <w:t xml:space="preserve">10.2 Operating model</w:t>
      </w:r>
    </w:p>
    <w:p>
      <w:pPr>
        <w:pStyle w:val="ListParagraph"/>
        <w:numPr>
          <w:ilvl w:val="0"/>
          <w:numId w:val="2"/>
        </w:numPr>
        <w:spacing w:after="40" w:before="40" w:line="280"/>
      </w:pPr>
      <w:r>
        <w:rPr>
          <w:rFonts w:ascii="Arial" w:cs="Arial" w:eastAsia="Arial" w:hAnsi="Arial"/>
          <w:sz w:val="22"/>
          <w:szCs w:val="22"/>
        </w:rPr>
        <w:t xml:space="preserve">Pod structure: Agent pod (LangGraph, LLM ops, prompts), Compliance pod (audit, e-sig, validation pack), Connectors pod, Frontend pod, Platform pod (security, infra, observability), Regulatory pod (RA-led, embedded).</w:t>
      </w:r>
    </w:p>
    <w:p>
      <w:pPr>
        <w:pStyle w:val="ListParagraph"/>
        <w:numPr>
          <w:ilvl w:val="0"/>
          <w:numId w:val="2"/>
        </w:numPr>
        <w:spacing w:after="40" w:before="40" w:line="280"/>
      </w:pPr>
      <w:r>
        <w:rPr>
          <w:rFonts w:ascii="Arial" w:cs="Arial" w:eastAsia="Arial" w:hAnsi="Arial"/>
          <w:sz w:val="22"/>
          <w:szCs w:val="22"/>
        </w:rPr>
        <w:t xml:space="preserve">Trunk-based development with signed releases; every release ships a validation summary report and an evidence bundle linked to user requirements.</w:t>
      </w:r>
    </w:p>
    <w:p>
      <w:pPr>
        <w:pStyle w:val="ListParagraph"/>
        <w:numPr>
          <w:ilvl w:val="0"/>
          <w:numId w:val="2"/>
        </w:numPr>
        <w:spacing w:after="40" w:before="40" w:line="280"/>
      </w:pPr>
      <w:r>
        <w:rPr>
          <w:rFonts w:ascii="Arial" w:cs="Arial" w:eastAsia="Arial" w:hAnsi="Arial"/>
          <w:sz w:val="22"/>
          <w:szCs w:val="22"/>
        </w:rPr>
        <w:t xml:space="preserve">Two-week release cadence with biweekly customer-facing change-control notifications; 24-month support window for any production-tagged release.</w:t>
      </w:r>
    </w:p>
    <w:p>
      <w:pPr>
        <w:pStyle w:val="ListParagraph"/>
        <w:numPr>
          <w:ilvl w:val="0"/>
          <w:numId w:val="2"/>
        </w:numPr>
        <w:spacing w:after="40" w:before="40" w:line="280"/>
      </w:pPr>
      <w:r>
        <w:rPr>
          <w:rFonts w:ascii="Arial" w:cs="Arial" w:eastAsia="Arial" w:hAnsi="Arial"/>
          <w:sz w:val="22"/>
          <w:szCs w:val="22"/>
        </w:rPr>
        <w:t xml:space="preserve">Monthly external review by an independent regulatory affairs adviser; quarterly internal audit; annual external GAMP 5 readiness audit.</w:t>
      </w:r>
    </w:p>
    <w:p>
      <w:pPr>
        <w:pStyle w:val="Heading2"/>
        <w:spacing w:after="120" w:before="240"/>
      </w:pPr>
      <w:r>
        <w:rPr>
          <w:rFonts w:ascii="Arial" w:cs="Arial" w:eastAsia="Arial" w:hAnsi="Arial"/>
          <w:b/>
          <w:bCs/>
          <w:color w:val="1F4E79"/>
        </w:rPr>
        <w:t xml:space="preserve">10.3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32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Risk</w:t>
            </w:r>
          </w:p>
        </w:tc>
        <w:tc>
          <w:tcPr>
            <w:tcW w:type="dxa" w:w="13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Likelihood</w:t>
            </w:r>
          </w:p>
        </w:tc>
        <w:tc>
          <w:tcPr>
            <w:tcW w:type="dxa" w:w="13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Impact</w:t>
            </w:r>
          </w:p>
        </w:tc>
        <w:tc>
          <w:tcPr>
            <w:tcW w:type="dxa" w:w="32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Mitigation</w:t>
            </w:r>
          </w:p>
        </w:tc>
      </w:tr>
      <w:tr>
        <w:trPr>
          <w:tblHeader w:val="false"/>
        </w:trPr>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EU AI Act enforcement before our conformity package is ready</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Medium</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High</w:t>
            </w:r>
          </w:p>
        </w:tc>
        <w:tc>
          <w:tcPr>
            <w:tcW w:type="dxa" w:w="3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Begin technical-documentation and post-market-monitoring work in Phase 1; sequence ahead of 2 August 2026.</w:t>
            </w:r>
          </w:p>
        </w:tc>
      </w:tr>
      <w:tr>
        <w:trPr>
          <w:tblHeader w:val="false"/>
        </w:trPr>
        <w:tc>
          <w:tcPr>
            <w:tcW w:type="dxa" w:w="3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Hyperscaler MT vendor (DeepL / AWS) ships a credible regulatory bundle</w:t>
            </w:r>
          </w:p>
        </w:tc>
        <w:tc>
          <w:tcPr>
            <w:tcW w:type="dxa" w:w="13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Medium</w:t>
            </w:r>
          </w:p>
        </w:tc>
        <w:tc>
          <w:tcPr>
            <w:tcW w:type="dxa" w:w="13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High</w:t>
            </w:r>
          </w:p>
        </w:tc>
        <w:tc>
          <w:tcPr>
            <w:tcW w:type="dxa" w:w="3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Compete on regulatory depth (EMA QRD, EDQM, IDMP, eCTD), validation packs and linguistic validation — areas hyperscalers are unlikely to enter.</w:t>
            </w:r>
          </w:p>
        </w:tc>
      </w:tr>
      <w:tr>
        <w:trPr>
          <w:tblHeader w:val="false"/>
        </w:trPr>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Smartcat or Lilt ships pharma certifications faster</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Medium</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Medium</w:t>
            </w:r>
          </w:p>
        </w:tc>
        <w:tc>
          <w:tcPr>
            <w:tcW w:type="dxa" w:w="3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Move first on EU AI Act conformity-by-design; partner with one regulatory writing vendor for joint GTM.</w:t>
            </w:r>
          </w:p>
        </w:tc>
      </w:tr>
      <w:tr>
        <w:trPr>
          <w:tblHeader w:val="false"/>
        </w:trPr>
        <w:tc>
          <w:tcPr>
            <w:tcW w:type="dxa" w:w="3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Audit-ledger redesign breaks existing pilot data</w:t>
            </w:r>
          </w:p>
        </w:tc>
        <w:tc>
          <w:tcPr>
            <w:tcW w:type="dxa" w:w="13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Low</w:t>
            </w:r>
          </w:p>
        </w:tc>
        <w:tc>
          <w:tcPr>
            <w:tcW w:type="dxa" w:w="13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Medium</w:t>
            </w:r>
          </w:p>
        </w:tc>
        <w:tc>
          <w:tcPr>
            <w:tcW w:type="dxa" w:w="3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Build a one-time chain-migration tool that preserves history and re-anchors to the new schema.</w:t>
            </w:r>
          </w:p>
        </w:tc>
      </w:tr>
      <w:tr>
        <w:trPr>
          <w:tblHeader w:val="false"/>
        </w:trPr>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LLM provider terms-of-service change blocks pharma data use</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Low</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High</w:t>
            </w:r>
          </w:p>
        </w:tc>
        <w:tc>
          <w:tcPr>
            <w:tcW w:type="dxa" w:w="3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Multi-provider abstraction; private deployment options (Azure OpenAI, AWS Bedrock with no-training guarantees, on-prem LLaMA).</w:t>
            </w:r>
          </w:p>
        </w:tc>
      </w:tr>
      <w:tr>
        <w:trPr>
          <w:tblHeader w:val="false"/>
        </w:trPr>
        <w:tc>
          <w:tcPr>
            <w:tcW w:type="dxa" w:w="35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Talent: regulatory affairs and CSV expertise scarce</w:t>
            </w:r>
          </w:p>
        </w:tc>
        <w:tc>
          <w:tcPr>
            <w:tcW w:type="dxa" w:w="13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High</w:t>
            </w:r>
          </w:p>
        </w:tc>
        <w:tc>
          <w:tcPr>
            <w:tcW w:type="dxa" w:w="13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Medium</w:t>
            </w:r>
          </w:p>
        </w:tc>
        <w:tc>
          <w:tcPr>
            <w:tcW w:type="dxa" w:w="32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Hire one senior RA lead in Phase 1; partner with a CSV consultancy in Phase 2; build internal RA training in Phase 3.</w:t>
            </w:r>
          </w:p>
        </w:tc>
      </w:tr>
      <w:tr>
        <w:trPr>
          <w:tblHeader w:val="false"/>
        </w:trPr>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Customer concentration in pilots</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Medium</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Medium</w:t>
            </w:r>
          </w:p>
        </w:tc>
        <w:tc>
          <w:tcPr>
            <w:tcW w:type="dxa" w:w="32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Sign three pilots, not one; structure pilots with conversion-to-production clauses.</w:t>
            </w:r>
          </w:p>
        </w:tc>
      </w:tr>
    </w:tbl>
    <w:p>
      <w:pPr>
        <w:pStyle w:val="Heading1"/>
        <w:pageBreakBefore/>
        <w:spacing w:after="200" w:before="240"/>
      </w:pPr>
      <w:r>
        <w:rPr>
          <w:rFonts w:ascii="Arial" w:cs="Arial" w:eastAsia="Arial" w:hAnsi="Arial"/>
          <w:b/>
          <w:bCs/>
          <w:color w:val="1F4E79"/>
        </w:rPr>
        <w:t xml:space="preserve">Appendix A — Top 25 Code-Fix Backlog</w:t>
      </w:r>
    </w:p>
    <w:p>
      <w:pPr>
        <w:spacing w:after="100" w:before="80" w:line="300"/>
        <w:jc w:val="left"/>
      </w:pPr>
      <w:r>
        <w:rPr>
          <w:rFonts w:ascii="Arial" w:cs="Arial" w:eastAsia="Arial" w:hAnsi="Arial"/>
          <w:sz w:val="22"/>
          <w:szCs w:val="22"/>
        </w:rPr>
        <w:t xml:space="preserve">This is the prioritised, do-this-now list. It is meant for a tech lead to take to the next sprint planning. Items are paired to severity-tagged findings in Sections 3 and 4.</w:t>
      </w:r>
    </w:p>
    <w:p>
      <w:pPr>
        <w:pStyle w:val="ListParagraph"/>
        <w:numPr>
          <w:ilvl w:val="0"/>
          <w:numId w:val="3"/>
        </w:numPr>
        <w:spacing w:after="40" w:before="40" w:line="280"/>
      </w:pPr>
      <w:r>
        <w:rPr>
          <w:rFonts w:ascii="Arial" w:cs="Arial" w:eastAsia="Arial" w:hAnsi="Arial"/>
          <w:sz w:val="22"/>
          <w:szCs w:val="22"/>
        </w:rPr>
        <w:t xml:space="preserve">Rotate exposed OpenAI API key; remove .env from git; expand .gitignore (C-01).</w:t>
      </w:r>
    </w:p>
    <w:p>
      <w:pPr>
        <w:pStyle w:val="ListParagraph"/>
        <w:numPr>
          <w:ilvl w:val="0"/>
          <w:numId w:val="3"/>
        </w:numPr>
        <w:spacing w:after="40" w:before="40" w:line="280"/>
      </w:pPr>
      <w:r>
        <w:rPr>
          <w:rFonts w:ascii="Arial" w:cs="Arial" w:eastAsia="Arial" w:hAnsi="Arial"/>
          <w:sz w:val="22"/>
          <w:szCs w:val="22"/>
        </w:rPr>
        <w:t xml:space="preserve">Force AUTH_MODE != none in production; remove dev-admin fallback in auth.tsx (C-03, F-C01).</w:t>
      </w:r>
    </w:p>
    <w:p>
      <w:pPr>
        <w:pStyle w:val="ListParagraph"/>
        <w:numPr>
          <w:ilvl w:val="0"/>
          <w:numId w:val="3"/>
        </w:numPr>
        <w:spacing w:after="40" w:before="40" w:line="280"/>
      </w:pPr>
      <w:r>
        <w:rPr>
          <w:rFonts w:ascii="Arial" w:cs="Arial" w:eastAsia="Arial" w:hAnsi="Arial"/>
          <w:sz w:val="22"/>
          <w:szCs w:val="22"/>
        </w:rPr>
        <w:t xml:space="preserve">Replace audit-chain hashing with structured, domain-separated SHA-256 over (sequence_index, previous_hash, payload_hash) bytes (C-04).</w:t>
      </w:r>
    </w:p>
    <w:p>
      <w:pPr>
        <w:pStyle w:val="ListParagraph"/>
        <w:numPr>
          <w:ilvl w:val="0"/>
          <w:numId w:val="3"/>
        </w:numPr>
        <w:spacing w:after="40" w:before="40" w:line="280"/>
      </w:pPr>
      <w:r>
        <w:rPr>
          <w:rFonts w:ascii="Arial" w:cs="Arial" w:eastAsia="Arial" w:hAnsi="Arial"/>
          <w:sz w:val="22"/>
          <w:szCs w:val="22"/>
        </w:rPr>
        <w:t xml:space="preserve">Generate timestamps per audit event with timezone-aware UTC; remove module-load formatTime() (C-05).</w:t>
      </w:r>
    </w:p>
    <w:p>
      <w:pPr>
        <w:pStyle w:val="ListParagraph"/>
        <w:numPr>
          <w:ilvl w:val="0"/>
          <w:numId w:val="3"/>
        </w:numPr>
        <w:spacing w:after="40" w:before="40" w:line="280"/>
      </w:pPr>
      <w:r>
        <w:rPr>
          <w:rFonts w:ascii="Arial" w:cs="Arial" w:eastAsia="Arial" w:hAnsi="Arial"/>
          <w:sz w:val="22"/>
          <w:szCs w:val="22"/>
        </w:rPr>
        <w:t xml:space="preserve">Make QualityGateService instance-based and thread-safe; remove lazy global state (C-08).</w:t>
      </w:r>
    </w:p>
    <w:p>
      <w:pPr>
        <w:pStyle w:val="ListParagraph"/>
        <w:numPr>
          <w:ilvl w:val="0"/>
          <w:numId w:val="3"/>
        </w:numPr>
        <w:spacing w:after="40" w:before="40" w:line="280"/>
      </w:pPr>
      <w:r>
        <w:rPr>
          <w:rFonts w:ascii="Arial" w:cs="Arial" w:eastAsia="Arial" w:hAnsi="Arial"/>
          <w:sz w:val="22"/>
          <w:szCs w:val="22"/>
        </w:rPr>
        <w:t xml:space="preserve">Back ResilienceService circuit breaker with Redis; add per-instance lock; expose state in /healthz (C-07).</w:t>
      </w:r>
    </w:p>
    <w:p>
      <w:pPr>
        <w:pStyle w:val="ListParagraph"/>
        <w:numPr>
          <w:ilvl w:val="0"/>
          <w:numId w:val="3"/>
        </w:numPr>
        <w:spacing w:after="40" w:before="40" w:line="280"/>
      </w:pPr>
      <w:r>
        <w:rPr>
          <w:rFonts w:ascii="Arial" w:cs="Arial" w:eastAsia="Arial" w:hAnsi="Arial"/>
          <w:sz w:val="22"/>
          <w:szCs w:val="22"/>
        </w:rPr>
        <w:t xml:space="preserve">Unwind alembic mega-migration into versioned semantic steps; add migration test harness (C-06).</w:t>
      </w:r>
    </w:p>
    <w:p>
      <w:pPr>
        <w:pStyle w:val="ListParagraph"/>
        <w:numPr>
          <w:ilvl w:val="0"/>
          <w:numId w:val="3"/>
        </w:numPr>
        <w:spacing w:after="40" w:before="40" w:line="280"/>
      </w:pPr>
      <w:r>
        <w:rPr>
          <w:rFonts w:ascii="Arial" w:cs="Arial" w:eastAsia="Arial" w:hAnsi="Arial"/>
          <w:sz w:val="22"/>
          <w:szCs w:val="22"/>
        </w:rPr>
        <w:t xml:space="preserve">Add soft-delete columns to every table; reject hard deletes in code (C-10).</w:t>
      </w:r>
    </w:p>
    <w:p>
      <w:pPr>
        <w:pStyle w:val="ListParagraph"/>
        <w:numPr>
          <w:ilvl w:val="0"/>
          <w:numId w:val="3"/>
        </w:numPr>
        <w:spacing w:after="40" w:before="40" w:line="280"/>
      </w:pPr>
      <w:r>
        <w:rPr>
          <w:rFonts w:ascii="Arial" w:cs="Arial" w:eastAsia="Arial" w:hAnsi="Arial"/>
          <w:sz w:val="22"/>
          <w:szCs w:val="22"/>
        </w:rPr>
        <w:t xml:space="preserve">Replace text.split('.') segmentation with sentence segmentation that handles abbreviations, lists, tables (C-11).</w:t>
      </w:r>
    </w:p>
    <w:p>
      <w:pPr>
        <w:pStyle w:val="ListParagraph"/>
        <w:numPr>
          <w:ilvl w:val="0"/>
          <w:numId w:val="3"/>
        </w:numPr>
        <w:spacing w:after="40" w:before="40" w:line="280"/>
      </w:pPr>
      <w:r>
        <w:rPr>
          <w:rFonts w:ascii="Arial" w:cs="Arial" w:eastAsia="Arial" w:hAnsi="Arial"/>
          <w:sz w:val="22"/>
          <w:szCs w:val="22"/>
        </w:rPr>
        <w:t xml:space="preserve">Replace regex-only PII service with Microsoft Presidio or AWS Comprehend Medical; structured token-mask round-trip (C-12).</w:t>
      </w:r>
    </w:p>
    <w:p>
      <w:pPr>
        <w:pStyle w:val="ListParagraph"/>
        <w:numPr>
          <w:ilvl w:val="0"/>
          <w:numId w:val="3"/>
        </w:numPr>
        <w:spacing w:after="40" w:before="40" w:line="280"/>
      </w:pPr>
      <w:r>
        <w:rPr>
          <w:rFonts w:ascii="Arial" w:cs="Arial" w:eastAsia="Arial" w:hAnsi="Arial"/>
          <w:sz w:val="22"/>
          <w:szCs w:val="22"/>
        </w:rPr>
        <w:t xml:space="preserve">Require human signed promotion of learnt rules; remove auto-approval threshold (C-13).</w:t>
      </w:r>
    </w:p>
    <w:p>
      <w:pPr>
        <w:pStyle w:val="ListParagraph"/>
        <w:numPr>
          <w:ilvl w:val="0"/>
          <w:numId w:val="3"/>
        </w:numPr>
        <w:spacing w:after="40" w:before="40" w:line="280"/>
      </w:pPr>
      <w:r>
        <w:rPr>
          <w:rFonts w:ascii="Arial" w:cs="Arial" w:eastAsia="Arial" w:hAnsi="Arial"/>
          <w:sz w:val="22"/>
          <w:szCs w:val="22"/>
        </w:rPr>
        <w:t xml:space="preserve">Remove mock-data fallback from app/review/[jobId]/page.tsx; replace with explicit error UX (F-C03).</w:t>
      </w:r>
    </w:p>
    <w:p>
      <w:pPr>
        <w:pStyle w:val="ListParagraph"/>
        <w:numPr>
          <w:ilvl w:val="0"/>
          <w:numId w:val="3"/>
        </w:numPr>
        <w:spacing w:after="40" w:before="40" w:line="280"/>
      </w:pPr>
      <w:r>
        <w:rPr>
          <w:rFonts w:ascii="Arial" w:cs="Arial" w:eastAsia="Arial" w:hAnsi="Arial"/>
          <w:sz w:val="22"/>
          <w:szCs w:val="22"/>
        </w:rPr>
        <w:t xml:space="preserve">Add audit-chain server-side verification call on AuditTimeline render with explicit Verified / Broken state (F-C05).</w:t>
      </w:r>
    </w:p>
    <w:p>
      <w:pPr>
        <w:pStyle w:val="ListParagraph"/>
        <w:numPr>
          <w:ilvl w:val="0"/>
          <w:numId w:val="3"/>
        </w:numPr>
        <w:spacing w:after="40" w:before="40" w:line="280"/>
      </w:pPr>
      <w:r>
        <w:rPr>
          <w:rFonts w:ascii="Arial" w:cs="Arial" w:eastAsia="Arial" w:hAnsi="Arial"/>
          <w:sz w:val="22"/>
          <w:szCs w:val="22"/>
        </w:rPr>
        <w:t xml:space="preserve">Migrate JWT to httpOnly Secure SameSite=Strict cookies; introduce CSRF tokens (F-H02, F-H05).</w:t>
      </w:r>
    </w:p>
    <w:p>
      <w:pPr>
        <w:pStyle w:val="ListParagraph"/>
        <w:numPr>
          <w:ilvl w:val="0"/>
          <w:numId w:val="3"/>
        </w:numPr>
        <w:spacing w:after="40" w:before="40" w:line="280"/>
      </w:pPr>
      <w:r>
        <w:rPr>
          <w:rFonts w:ascii="Arial" w:cs="Arial" w:eastAsia="Arial" w:hAnsi="Arial"/>
          <w:sz w:val="22"/>
          <w:szCs w:val="22"/>
        </w:rPr>
        <w:t xml:space="preserve">Sanitise Tiptap getHTML output via DOMPurify or schema allow-list (F-H03).</w:t>
      </w:r>
    </w:p>
    <w:p>
      <w:pPr>
        <w:pStyle w:val="ListParagraph"/>
        <w:numPr>
          <w:ilvl w:val="0"/>
          <w:numId w:val="3"/>
        </w:numPr>
        <w:spacing w:after="40" w:before="40" w:line="280"/>
      </w:pPr>
      <w:r>
        <w:rPr>
          <w:rFonts w:ascii="Arial" w:cs="Arial" w:eastAsia="Arial" w:hAnsi="Arial"/>
          <w:sz w:val="22"/>
          <w:szCs w:val="22"/>
        </w:rPr>
        <w:t xml:space="preserve">Implement real file upload validation (type sniffing, size cap, AV scan trigger) (F-H04).</w:t>
      </w:r>
    </w:p>
    <w:p>
      <w:pPr>
        <w:pStyle w:val="ListParagraph"/>
        <w:numPr>
          <w:ilvl w:val="0"/>
          <w:numId w:val="3"/>
        </w:numPr>
        <w:spacing w:after="40" w:before="40" w:line="280"/>
      </w:pPr>
      <w:r>
        <w:rPr>
          <w:rFonts w:ascii="Arial" w:cs="Arial" w:eastAsia="Arial" w:hAnsi="Arial"/>
          <w:sz w:val="22"/>
          <w:szCs w:val="22"/>
        </w:rPr>
        <w:t xml:space="preserve">Add reviewer save-and-sign endpoint and call in /review screen; capture change reason and signer (F-M03).</w:t>
      </w:r>
    </w:p>
    <w:p>
      <w:pPr>
        <w:pStyle w:val="ListParagraph"/>
        <w:numPr>
          <w:ilvl w:val="0"/>
          <w:numId w:val="3"/>
        </w:numPr>
        <w:spacing w:after="40" w:before="40" w:line="280"/>
      </w:pPr>
      <w:r>
        <w:rPr>
          <w:rFonts w:ascii="Arial" w:cs="Arial" w:eastAsia="Arial" w:hAnsi="Arial"/>
          <w:sz w:val="22"/>
          <w:szCs w:val="22"/>
        </w:rPr>
        <w:t xml:space="preserve">Virtualise long segment lists (react-virtual / TanStack Virtual) (F-H06).</w:t>
      </w:r>
    </w:p>
    <w:p>
      <w:pPr>
        <w:pStyle w:val="ListParagraph"/>
        <w:numPr>
          <w:ilvl w:val="0"/>
          <w:numId w:val="3"/>
        </w:numPr>
        <w:spacing w:after="40" w:before="40" w:line="280"/>
      </w:pPr>
      <w:r>
        <w:rPr>
          <w:rFonts w:ascii="Arial" w:cs="Arial" w:eastAsia="Arial" w:hAnsi="Arial"/>
          <w:sz w:val="22"/>
          <w:szCs w:val="22"/>
        </w:rPr>
        <w:t xml:space="preserve">Add CSP, HSTS, X-Frame-Options, Permissions-Policy to next.config.ts (F-M06).</w:t>
      </w:r>
    </w:p>
    <w:p>
      <w:pPr>
        <w:pStyle w:val="ListParagraph"/>
        <w:numPr>
          <w:ilvl w:val="0"/>
          <w:numId w:val="3"/>
        </w:numPr>
        <w:spacing w:after="40" w:before="40" w:line="280"/>
      </w:pPr>
      <w:r>
        <w:rPr>
          <w:rFonts w:ascii="Arial" w:cs="Arial" w:eastAsia="Arial" w:hAnsi="Arial"/>
          <w:sz w:val="22"/>
          <w:szCs w:val="22"/>
        </w:rPr>
        <w:t xml:space="preserve">Stand up Vitest unit and Playwright e2e suite; gate releases on it (F-build / F-tests).</w:t>
      </w:r>
    </w:p>
    <w:p>
      <w:pPr>
        <w:pStyle w:val="ListParagraph"/>
        <w:numPr>
          <w:ilvl w:val="0"/>
          <w:numId w:val="3"/>
        </w:numPr>
        <w:spacing w:after="40" w:before="40" w:line="280"/>
      </w:pPr>
      <w:r>
        <w:rPr>
          <w:rFonts w:ascii="Arial" w:cs="Arial" w:eastAsia="Arial" w:hAnsi="Arial"/>
          <w:sz w:val="22"/>
          <w:szCs w:val="22"/>
        </w:rPr>
        <w:t xml:space="preserve">Wire OpenTelemetry spans across LangGraph nodes; emit Prometheus counters and histograms (H-15).</w:t>
      </w:r>
    </w:p>
    <w:p>
      <w:pPr>
        <w:pStyle w:val="ListParagraph"/>
        <w:numPr>
          <w:ilvl w:val="0"/>
          <w:numId w:val="3"/>
        </w:numPr>
        <w:spacing w:after="40" w:before="40" w:line="280"/>
      </w:pPr>
      <w:r>
        <w:rPr>
          <w:rFonts w:ascii="Arial" w:cs="Arial" w:eastAsia="Arial" w:hAnsi="Arial"/>
          <w:sz w:val="22"/>
          <w:szCs w:val="22"/>
        </w:rPr>
        <w:t xml:space="preserve">Convert prompts to a versioned registry; record prompt-version in every JobConfigSnapshot (M-03).</w:t>
      </w:r>
    </w:p>
    <w:p>
      <w:pPr>
        <w:pStyle w:val="ListParagraph"/>
        <w:numPr>
          <w:ilvl w:val="0"/>
          <w:numId w:val="3"/>
        </w:numPr>
        <w:spacing w:after="40" w:before="40" w:line="280"/>
      </w:pPr>
      <w:r>
        <w:rPr>
          <w:rFonts w:ascii="Arial" w:cs="Arial" w:eastAsia="Arial" w:hAnsi="Arial"/>
          <w:sz w:val="22"/>
          <w:szCs w:val="22"/>
        </w:rPr>
        <w:t xml:space="preserve">Add per-tenant rate limit and per-job cost ceiling on LLM calls (M-04).</w:t>
      </w:r>
    </w:p>
    <w:p>
      <w:pPr>
        <w:pStyle w:val="ListParagraph"/>
        <w:numPr>
          <w:ilvl w:val="0"/>
          <w:numId w:val="3"/>
        </w:numPr>
        <w:spacing w:after="40" w:before="40" w:line="280"/>
      </w:pPr>
      <w:r>
        <w:rPr>
          <w:rFonts w:ascii="Arial" w:cs="Arial" w:eastAsia="Arial" w:hAnsi="Arial"/>
          <w:sz w:val="22"/>
          <w:szCs w:val="22"/>
        </w:rPr>
        <w:t xml:space="preserve">Implement EMA QRD section validators in app/services/quality_gate.py (H-20).</w:t>
      </w:r>
    </w:p>
    <w:p>
      <w:pPr>
        <w:pStyle w:val="ListParagraph"/>
        <w:numPr>
          <w:ilvl w:val="0"/>
          <w:numId w:val="3"/>
        </w:numPr>
        <w:spacing w:after="40" w:before="40" w:line="280"/>
      </w:pPr>
      <w:r>
        <w:rPr>
          <w:rFonts w:ascii="Arial" w:cs="Arial" w:eastAsia="Arial" w:hAnsi="Arial"/>
          <w:sz w:val="22"/>
          <w:szCs w:val="22"/>
        </w:rPr>
        <w:t xml:space="preserve">Subscribe to and integrate EDQM Standard Terms; lock terminology in agent (compliance gap).</w:t>
      </w:r>
    </w:p>
    <w:p>
      <w:pPr>
        <w:pStyle w:val="Heading1"/>
        <w:pageBreakBefore/>
        <w:spacing w:after="200" w:before="240"/>
      </w:pPr>
      <w:r>
        <w:rPr>
          <w:rFonts w:ascii="Arial" w:cs="Arial" w:eastAsia="Arial" w:hAnsi="Arial"/>
          <w:b/>
          <w:bCs/>
          <w:color w:val="1F4E79"/>
        </w:rPr>
        <w:t xml:space="preserve">Appendix B — Certification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Certification / framework</w:t>
            </w:r>
          </w:p>
        </w:tc>
        <w:tc>
          <w:tcPr>
            <w:tcW w:type="dxa" w:w="22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When</w:t>
            </w:r>
          </w:p>
        </w:tc>
        <w:tc>
          <w:tcPr>
            <w:tcW w:type="dxa" w:w="180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Owner</w:t>
            </w:r>
          </w:p>
        </w:tc>
        <w:tc>
          <w:tcPr>
            <w:tcW w:type="dxa" w:w="2960"/>
            <w:tcBorders>
              <w:top w:val="single" w:color="BFBFBF" w:sz="4"/>
              <w:left w:val="single" w:color="BFBFBF" w:sz="4"/>
              <w:bottom w:val="single" w:color="BFBFBF" w:sz="4"/>
              <w:right w:val="single" w:color="BFBFBF" w:sz="4"/>
            </w:tcBorders>
            <w:shd w:fill="1F4E79" w:val="clear"/>
            <w:tcMar>
              <w:top w:type="dxa" w:w="50"/>
              <w:left w:type="dxa" w:w="100"/>
              <w:bottom w:type="dxa" w:w="50"/>
              <w:right w:type="dxa" w:w="100"/>
            </w:tcMar>
          </w:tcPr>
          <w:p>
            <w:pPr>
              <w:spacing w:after="40" w:before="40" w:line="240"/>
              <w:jc w:val="left"/>
            </w:pPr>
            <w:r>
              <w:rPr>
                <w:rFonts w:ascii="Arial" w:cs="Arial" w:eastAsia="Arial" w:hAnsi="Arial"/>
                <w:b/>
                <w:bCs/>
                <w:color w:val="FFFFFF"/>
                <w:sz w:val="18"/>
                <w:szCs w:val="18"/>
              </w:rPr>
              <w:t xml:space="preserve">Notes</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ISO 27001</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Audit booked end of Phase 2</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Security Eng</w:t>
            </w:r>
          </w:p>
        </w:tc>
        <w:tc>
          <w:tcPr>
            <w:tcW w:type="dxa" w:w="2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ISMS scope, control library, internal audit, external auditor (BSI / DNV / SGS).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SOC 2 Type II</w:t>
            </w:r>
          </w:p>
        </w:tc>
        <w:tc>
          <w:tcPr>
            <w:tcW w:type="dxa" w:w="22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Evidence collection starts Phase 2; report end of Phase 3</w:t>
            </w:r>
          </w:p>
        </w:tc>
        <w:tc>
          <w:tcPr>
            <w:tcW w:type="dxa" w:w="18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Security Eng</w:t>
            </w:r>
          </w:p>
        </w:tc>
        <w:tc>
          <w:tcPr>
            <w:tcW w:type="dxa" w:w="29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Six months minimum evidence window; auditor (Schellman / A-LIGN / Prescient Assurance).</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ISO 17100 (translation services)</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Phase 3</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Head of Localisation</w:t>
            </w:r>
          </w:p>
        </w:tc>
        <w:tc>
          <w:tcPr>
            <w:tcW w:type="dxa" w:w="2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Process documentation; translator and reviewer competence; revision procedure; certified body.</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ISO 18587 (MT post-editing)</w:t>
            </w:r>
          </w:p>
        </w:tc>
        <w:tc>
          <w:tcPr>
            <w:tcW w:type="dxa" w:w="22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Phase 3</w:t>
            </w:r>
          </w:p>
        </w:tc>
        <w:tc>
          <w:tcPr>
            <w:tcW w:type="dxa" w:w="18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Head of Localisation</w:t>
            </w:r>
          </w:p>
        </w:tc>
        <w:tc>
          <w:tcPr>
            <w:tcW w:type="dxa" w:w="29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Full vs light post-editing process documented; reviewer training.</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ISO 13485 (medical devices QMS)</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Phase 3 (if MDR / IVDR customers)</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Head of Quality</w:t>
            </w:r>
          </w:p>
        </w:tc>
        <w:tc>
          <w:tcPr>
            <w:tcW w:type="dxa" w:w="2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QMS, design history files, supplier controls; certified body.</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HIPAA BAA-ready</w:t>
            </w:r>
          </w:p>
        </w:tc>
        <w:tc>
          <w:tcPr>
            <w:tcW w:type="dxa" w:w="22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Phase 1</w:t>
            </w:r>
          </w:p>
        </w:tc>
        <w:tc>
          <w:tcPr>
            <w:tcW w:type="dxa" w:w="18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Compliance Lead</w:t>
            </w:r>
          </w:p>
        </w:tc>
        <w:tc>
          <w:tcPr>
            <w:tcW w:type="dxa" w:w="29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Encryption, access logs, breach-notification runbook; BAA template.</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GDPR DPA + DPIA</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Phase 1</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Compliance Lead</w:t>
            </w:r>
          </w:p>
        </w:tc>
        <w:tc>
          <w:tcPr>
            <w:tcW w:type="dxa" w:w="2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Data-processing addendum, DPIA template, transfer-impact assessment, sub-processor list.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21 CFR Part 11 attestation</w:t>
            </w:r>
          </w:p>
        </w:tc>
        <w:tc>
          <w:tcPr>
            <w:tcW w:type="dxa" w:w="22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Phase 2</w:t>
            </w:r>
          </w:p>
        </w:tc>
        <w:tc>
          <w:tcPr>
            <w:tcW w:type="dxa" w:w="18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Compliance Lead</w:t>
            </w:r>
          </w:p>
        </w:tc>
        <w:tc>
          <w:tcPr>
            <w:tcW w:type="dxa" w:w="29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Vendor attestation backed by validation summary report.</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GAMP 5 / Annex 11</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Phase 2</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QA / Validation Eng</w:t>
            </w:r>
          </w:p>
        </w:tc>
        <w:tc>
          <w:tcPr>
            <w:tcW w:type="dxa" w:w="2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URS, FS, IQ, OQ, PQ; risk assessment; change control.</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EU AI Act conformity</w:t>
            </w:r>
          </w:p>
        </w:tc>
        <w:tc>
          <w:tcPr>
            <w:tcW w:type="dxa" w:w="22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Before 2 August 2026</w:t>
            </w:r>
          </w:p>
        </w:tc>
        <w:tc>
          <w:tcPr>
            <w:tcW w:type="dxa" w:w="180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Reg Affairs Lead</w:t>
            </w:r>
          </w:p>
        </w:tc>
        <w:tc>
          <w:tcPr>
            <w:tcW w:type="dxa" w:w="2960"/>
            <w:tcBorders>
              <w:top w:val="single" w:color="BFBFBF" w:sz="4"/>
              <w:left w:val="single" w:color="BFBFBF" w:sz="4"/>
              <w:bottom w:val="single" w:color="BFBFBF" w:sz="4"/>
              <w:right w:val="single" w:color="BFBFBF" w:sz="4"/>
            </w:tcBorders>
            <w:shd w:fill="F2F2F2" w:val="clear"/>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Technical documentation, model cards, risk-management system, post-market monitoring, instructions for use.</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FDA AI/ML credibility framework</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Phase 2</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Reg Affairs Lead</w:t>
            </w:r>
          </w:p>
        </w:tc>
        <w:tc>
          <w:tcPr>
            <w:tcW w:type="dxa" w:w="2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40" w:before="40" w:line="240"/>
              <w:jc w:val="left"/>
            </w:pPr>
            <w:r>
              <w:rPr>
                <w:rFonts w:ascii="Arial" w:cs="Arial" w:eastAsia="Arial" w:hAnsi="Arial"/>
                <w:b w:val="false"/>
                <w:bCs w:val="false"/>
                <w:color w:val="000000"/>
                <w:sz w:val="18"/>
                <w:szCs w:val="18"/>
              </w:rPr>
              <w:t xml:space="preserve">Context of use, model risk, credibility plan, executed evidence, controls, post-market monitoring.</w:t>
            </w:r>
          </w:p>
        </w:tc>
      </w:tr>
    </w:tbl>
    <w:p>
      <w:pPr>
        <w:pStyle w:val="Heading1"/>
        <w:pageBreakBefore/>
        <w:spacing w:after="200" w:before="240"/>
      </w:pPr>
      <w:r>
        <w:rPr>
          <w:rFonts w:ascii="Arial" w:cs="Arial" w:eastAsia="Arial" w:hAnsi="Arial"/>
          <w:b/>
          <w:bCs/>
          <w:color w:val="1F4E79"/>
        </w:rPr>
        <w:t xml:space="preserve">Appendix C — Glossary</w:t>
      </w:r>
    </w:p>
    <w:p>
      <w:pPr>
        <w:spacing w:after="100" w:before="80" w:line="300"/>
      </w:pPr>
      <w:r>
        <w:rPr>
          <w:rFonts w:ascii="Arial" w:cs="Arial" w:eastAsia="Arial" w:hAnsi="Arial"/>
          <w:b/>
          <w:bCs/>
          <w:sz w:val="22"/>
          <w:szCs w:val="22"/>
        </w:rPr>
        <w:t xml:space="preserve">21 CFR Part 11: </w:t>
      </w:r>
      <w:r>
        <w:rPr>
          <w:rFonts w:ascii="Arial" w:cs="Arial" w:eastAsia="Arial" w:hAnsi="Arial"/>
          <w:sz w:val="22"/>
          <w:szCs w:val="22"/>
        </w:rPr>
        <w:t xml:space="preserve">US FDA regulation governing electronic records and electronic signatures used in FDA-regulated submissions.</w:t>
      </w:r>
    </w:p>
    <w:p>
      <w:pPr>
        <w:spacing w:after="100" w:before="80" w:line="300"/>
      </w:pPr>
      <w:r>
        <w:rPr>
          <w:rFonts w:ascii="Arial" w:cs="Arial" w:eastAsia="Arial" w:hAnsi="Arial"/>
          <w:b/>
          <w:bCs/>
          <w:sz w:val="22"/>
          <w:szCs w:val="22"/>
        </w:rPr>
        <w:t xml:space="preserve">BAA: </w:t>
      </w:r>
      <w:r>
        <w:rPr>
          <w:rFonts w:ascii="Arial" w:cs="Arial" w:eastAsia="Arial" w:hAnsi="Arial"/>
          <w:sz w:val="22"/>
          <w:szCs w:val="22"/>
        </w:rPr>
        <w:t xml:space="preserve">Business Associate Agreement, the contract required under HIPAA for any vendor processing protected health information.</w:t>
      </w:r>
    </w:p>
    <w:p>
      <w:pPr>
        <w:spacing w:after="100" w:before="80" w:line="300"/>
      </w:pPr>
      <w:r>
        <w:rPr>
          <w:rFonts w:ascii="Arial" w:cs="Arial" w:eastAsia="Arial" w:hAnsi="Arial"/>
          <w:b/>
          <w:bCs/>
          <w:sz w:val="22"/>
          <w:szCs w:val="22"/>
        </w:rPr>
        <w:t xml:space="preserve">CTD / eCTD: </w:t>
      </w:r>
      <w:r>
        <w:rPr>
          <w:rFonts w:ascii="Arial" w:cs="Arial" w:eastAsia="Arial" w:hAnsi="Arial"/>
          <w:sz w:val="22"/>
          <w:szCs w:val="22"/>
        </w:rPr>
        <w:t xml:space="preserve">Common Technical Document, the standardised dossier format for regulatory submissions; eCTD is its electronic form.</w:t>
      </w:r>
    </w:p>
    <w:p>
      <w:pPr>
        <w:spacing w:after="100" w:before="80" w:line="300"/>
      </w:pPr>
      <w:r>
        <w:rPr>
          <w:rFonts w:ascii="Arial" w:cs="Arial" w:eastAsia="Arial" w:hAnsi="Arial"/>
          <w:b/>
          <w:bCs/>
          <w:sz w:val="22"/>
          <w:szCs w:val="22"/>
        </w:rPr>
        <w:t xml:space="preserve">CSV: </w:t>
      </w:r>
      <w:r>
        <w:rPr>
          <w:rFonts w:ascii="Arial" w:cs="Arial" w:eastAsia="Arial" w:hAnsi="Arial"/>
          <w:sz w:val="22"/>
          <w:szCs w:val="22"/>
        </w:rPr>
        <w:t xml:space="preserve">Computer System Validation, the GxP discipline for proving a computerised system performs as intended.</w:t>
      </w:r>
    </w:p>
    <w:p>
      <w:pPr>
        <w:spacing w:after="100" w:before="80" w:line="300"/>
      </w:pPr>
      <w:r>
        <w:rPr>
          <w:rFonts w:ascii="Arial" w:cs="Arial" w:eastAsia="Arial" w:hAnsi="Arial"/>
          <w:b/>
          <w:bCs/>
          <w:sz w:val="22"/>
          <w:szCs w:val="22"/>
        </w:rPr>
        <w:t xml:space="preserve">EDQM Standard Terms: </w:t>
      </w:r>
      <w:r>
        <w:rPr>
          <w:rFonts w:ascii="Arial" w:cs="Arial" w:eastAsia="Arial" w:hAnsi="Arial"/>
          <w:sz w:val="22"/>
          <w:szCs w:val="22"/>
        </w:rPr>
        <w:t xml:space="preserve">European Directorate for the Quality of Medicines list of standard pharmaceutical terms used in product information.</w:t>
      </w:r>
    </w:p>
    <w:p>
      <w:pPr>
        <w:spacing w:after="100" w:before="80" w:line="300"/>
      </w:pPr>
      <w:r>
        <w:rPr>
          <w:rFonts w:ascii="Arial" w:cs="Arial" w:eastAsia="Arial" w:hAnsi="Arial"/>
          <w:b/>
          <w:bCs/>
          <w:sz w:val="22"/>
          <w:szCs w:val="22"/>
        </w:rPr>
        <w:t xml:space="preserve">EMA QRD: </w:t>
      </w:r>
      <w:r>
        <w:rPr>
          <w:rFonts w:ascii="Arial" w:cs="Arial" w:eastAsia="Arial" w:hAnsi="Arial"/>
          <w:sz w:val="22"/>
          <w:szCs w:val="22"/>
        </w:rPr>
        <w:t xml:space="preserve">European Medicines Agency Quality Review of Documents templates for SmPC, labelling and PIL.</w:t>
      </w:r>
    </w:p>
    <w:p>
      <w:pPr>
        <w:spacing w:after="100" w:before="80" w:line="300"/>
      </w:pPr>
      <w:r>
        <w:rPr>
          <w:rFonts w:ascii="Arial" w:cs="Arial" w:eastAsia="Arial" w:hAnsi="Arial"/>
          <w:b/>
          <w:bCs/>
          <w:sz w:val="22"/>
          <w:szCs w:val="22"/>
        </w:rPr>
        <w:t xml:space="preserve">GAMP 5: </w:t>
      </w:r>
      <w:r>
        <w:rPr>
          <w:rFonts w:ascii="Arial" w:cs="Arial" w:eastAsia="Arial" w:hAnsi="Arial"/>
          <w:sz w:val="22"/>
          <w:szCs w:val="22"/>
        </w:rPr>
        <w:t xml:space="preserve">ISPE's Good Automated Manufacturing Practice framework for risk-based system validation.</w:t>
      </w:r>
    </w:p>
    <w:p>
      <w:pPr>
        <w:spacing w:after="100" w:before="80" w:line="300"/>
      </w:pPr>
      <w:r>
        <w:rPr>
          <w:rFonts w:ascii="Arial" w:cs="Arial" w:eastAsia="Arial" w:hAnsi="Arial"/>
          <w:b/>
          <w:bCs/>
          <w:sz w:val="22"/>
          <w:szCs w:val="22"/>
        </w:rPr>
        <w:t xml:space="preserve">IDMP: </w:t>
      </w:r>
      <w:r>
        <w:rPr>
          <w:rFonts w:ascii="Arial" w:cs="Arial" w:eastAsia="Arial" w:hAnsi="Arial"/>
          <w:sz w:val="22"/>
          <w:szCs w:val="22"/>
        </w:rPr>
        <w:t xml:space="preserve">ISO 11615 / SPOR set of identifiers for medicinal products, packaged products, manufactured items and ingredients.</w:t>
      </w:r>
    </w:p>
    <w:p>
      <w:pPr>
        <w:spacing w:after="100" w:before="80" w:line="300"/>
      </w:pPr>
      <w:r>
        <w:rPr>
          <w:rFonts w:ascii="Arial" w:cs="Arial" w:eastAsia="Arial" w:hAnsi="Arial"/>
          <w:b/>
          <w:bCs/>
          <w:sz w:val="22"/>
          <w:szCs w:val="22"/>
        </w:rPr>
        <w:t xml:space="preserve">IFU: </w:t>
      </w:r>
      <w:r>
        <w:rPr>
          <w:rFonts w:ascii="Arial" w:cs="Arial" w:eastAsia="Arial" w:hAnsi="Arial"/>
          <w:sz w:val="22"/>
          <w:szCs w:val="22"/>
        </w:rPr>
        <w:t xml:space="preserve">Instructions for Use, regulated content shipped with medical devices and IVDs.</w:t>
      </w:r>
    </w:p>
    <w:p>
      <w:pPr>
        <w:spacing w:after="100" w:before="80" w:line="300"/>
      </w:pPr>
      <w:r>
        <w:rPr>
          <w:rFonts w:ascii="Arial" w:cs="Arial" w:eastAsia="Arial" w:hAnsi="Arial"/>
          <w:b/>
          <w:bCs/>
          <w:sz w:val="22"/>
          <w:szCs w:val="22"/>
        </w:rPr>
        <w:t xml:space="preserve">LangGraph: </w:t>
      </w:r>
      <w:r>
        <w:rPr>
          <w:rFonts w:ascii="Arial" w:cs="Arial" w:eastAsia="Arial" w:hAnsi="Arial"/>
          <w:sz w:val="22"/>
          <w:szCs w:val="22"/>
        </w:rPr>
        <w:t xml:space="preserve">An open-source library for building stateful, multi-actor LLM applications expressed as graphs.</w:t>
      </w:r>
    </w:p>
    <w:p>
      <w:pPr>
        <w:spacing w:after="100" w:before="80" w:line="300"/>
      </w:pPr>
      <w:r>
        <w:rPr>
          <w:rFonts w:ascii="Arial" w:cs="Arial" w:eastAsia="Arial" w:hAnsi="Arial"/>
          <w:b/>
          <w:bCs/>
          <w:sz w:val="22"/>
          <w:szCs w:val="22"/>
        </w:rPr>
        <w:t xml:space="preserve">MDR / IVDR: </w:t>
      </w:r>
      <w:r>
        <w:rPr>
          <w:rFonts w:ascii="Arial" w:cs="Arial" w:eastAsia="Arial" w:hAnsi="Arial"/>
          <w:sz w:val="22"/>
          <w:szCs w:val="22"/>
        </w:rPr>
        <w:t xml:space="preserve">EU Medical Device Regulation 2017/745 and In-Vitro Diagnostic Regulation 2017/746.</w:t>
      </w:r>
    </w:p>
    <w:p>
      <w:pPr>
        <w:spacing w:after="100" w:before="80" w:line="300"/>
      </w:pPr>
      <w:r>
        <w:rPr>
          <w:rFonts w:ascii="Arial" w:cs="Arial" w:eastAsia="Arial" w:hAnsi="Arial"/>
          <w:b/>
          <w:bCs/>
          <w:sz w:val="22"/>
          <w:szCs w:val="22"/>
        </w:rPr>
        <w:t xml:space="preserve">MQM / DQF: </w:t>
      </w:r>
      <w:r>
        <w:rPr>
          <w:rFonts w:ascii="Arial" w:cs="Arial" w:eastAsia="Arial" w:hAnsi="Arial"/>
          <w:sz w:val="22"/>
          <w:szCs w:val="22"/>
        </w:rPr>
        <w:t xml:space="preserve">Multidimensional Quality Metrics and Dynamic Quality Framework, industry-standard translation-quality scoring frameworks.</w:t>
      </w:r>
    </w:p>
    <w:p>
      <w:pPr>
        <w:spacing w:after="100" w:before="80" w:line="300"/>
      </w:pPr>
      <w:r>
        <w:rPr>
          <w:rFonts w:ascii="Arial" w:cs="Arial" w:eastAsia="Arial" w:hAnsi="Arial"/>
          <w:b/>
          <w:bCs/>
          <w:sz w:val="22"/>
          <w:szCs w:val="22"/>
        </w:rPr>
        <w:t xml:space="preserve">PHI: </w:t>
      </w:r>
      <w:r>
        <w:rPr>
          <w:rFonts w:ascii="Arial" w:cs="Arial" w:eastAsia="Arial" w:hAnsi="Arial"/>
          <w:sz w:val="22"/>
          <w:szCs w:val="22"/>
        </w:rPr>
        <w:t xml:space="preserve">Protected Health Information under HIPAA.</w:t>
      </w:r>
    </w:p>
    <w:p>
      <w:pPr>
        <w:spacing w:after="100" w:before="80" w:line="300"/>
      </w:pPr>
      <w:r>
        <w:rPr>
          <w:rFonts w:ascii="Arial" w:cs="Arial" w:eastAsia="Arial" w:hAnsi="Arial"/>
          <w:b/>
          <w:bCs/>
          <w:sz w:val="22"/>
          <w:szCs w:val="22"/>
        </w:rPr>
        <w:t xml:space="preserve">PIL: </w:t>
      </w:r>
      <w:r>
        <w:rPr>
          <w:rFonts w:ascii="Arial" w:cs="Arial" w:eastAsia="Arial" w:hAnsi="Arial"/>
          <w:sz w:val="22"/>
          <w:szCs w:val="22"/>
        </w:rPr>
        <w:t xml:space="preserve">Patient Information Leaflet.</w:t>
      </w:r>
    </w:p>
    <w:p>
      <w:pPr>
        <w:spacing w:after="100" w:before="80" w:line="300"/>
      </w:pPr>
      <w:r>
        <w:rPr>
          <w:rFonts w:ascii="Arial" w:cs="Arial" w:eastAsia="Arial" w:hAnsi="Arial"/>
          <w:b/>
          <w:bCs/>
          <w:sz w:val="22"/>
          <w:szCs w:val="22"/>
        </w:rPr>
        <w:t xml:space="preserve">PRO / COA: </w:t>
      </w:r>
      <w:r>
        <w:rPr>
          <w:rFonts w:ascii="Arial" w:cs="Arial" w:eastAsia="Arial" w:hAnsi="Arial"/>
          <w:sz w:val="22"/>
          <w:szCs w:val="22"/>
        </w:rPr>
        <w:t xml:space="preserve">Patient Reported Outcome instruments and Clinical Outcome Assessments — the use cases that demand 'linguistic validation'.</w:t>
      </w:r>
    </w:p>
    <w:p>
      <w:pPr>
        <w:spacing w:after="100" w:before="80" w:line="300"/>
      </w:pPr>
      <w:r>
        <w:rPr>
          <w:rFonts w:ascii="Arial" w:cs="Arial" w:eastAsia="Arial" w:hAnsi="Arial"/>
          <w:b/>
          <w:bCs/>
          <w:sz w:val="22"/>
          <w:szCs w:val="22"/>
        </w:rPr>
        <w:t xml:space="preserve">SmPC: </w:t>
      </w:r>
      <w:r>
        <w:rPr>
          <w:rFonts w:ascii="Arial" w:cs="Arial" w:eastAsia="Arial" w:hAnsi="Arial"/>
          <w:sz w:val="22"/>
          <w:szCs w:val="22"/>
        </w:rPr>
        <w:t xml:space="preserve">Summary of Product Characteristics — the core regulator-approved labelling document for a medicinal product in the EU.</w:t>
      </w:r>
    </w:p>
    <w:p>
      <w:pPr>
        <w:spacing w:after="100" w:before="80" w:line="300"/>
      </w:pPr>
      <w:r>
        <w:rPr>
          <w:rFonts w:ascii="Arial" w:cs="Arial" w:eastAsia="Arial" w:hAnsi="Arial"/>
          <w:b/>
          <w:bCs/>
          <w:sz w:val="22"/>
          <w:szCs w:val="22"/>
        </w:rPr>
        <w:t xml:space="preserve">TBX: </w:t>
      </w:r>
      <w:r>
        <w:rPr>
          <w:rFonts w:ascii="Arial" w:cs="Arial" w:eastAsia="Arial" w:hAnsi="Arial"/>
          <w:sz w:val="22"/>
          <w:szCs w:val="22"/>
        </w:rPr>
        <w:t xml:space="preserve">TermBase eXchange, an XML-based interchange format for terminology databases.</w:t>
      </w:r>
    </w:p>
    <w:p>
      <w:pPr>
        <w:spacing w:after="100" w:before="80" w:line="300"/>
      </w:pPr>
      <w:r>
        <w:rPr>
          <w:rFonts w:ascii="Arial" w:cs="Arial" w:eastAsia="Arial" w:hAnsi="Arial"/>
          <w:b/>
          <w:bCs/>
          <w:sz w:val="22"/>
          <w:szCs w:val="22"/>
        </w:rPr>
        <w:t xml:space="preserve">TMX: </w:t>
      </w:r>
      <w:r>
        <w:rPr>
          <w:rFonts w:ascii="Arial" w:cs="Arial" w:eastAsia="Arial" w:hAnsi="Arial"/>
          <w:sz w:val="22"/>
          <w:szCs w:val="22"/>
        </w:rPr>
        <w:t xml:space="preserve">Translation Memory eXchange, the interchange format for translation memories.</w:t>
      </w:r>
    </w:p>
    <w:p>
      <w:pPr>
        <w:spacing w:after="100" w:before="80" w:line="300"/>
      </w:pPr>
      <w:r>
        <w:rPr>
          <w:rFonts w:ascii="Arial" w:cs="Arial" w:eastAsia="Arial" w:hAnsi="Arial"/>
          <w:b/>
          <w:bCs/>
          <w:sz w:val="22"/>
          <w:szCs w:val="22"/>
        </w:rPr>
        <w:t xml:space="preserve">XLIFF: </w:t>
      </w:r>
      <w:r>
        <w:rPr>
          <w:rFonts w:ascii="Arial" w:cs="Arial" w:eastAsia="Arial" w:hAnsi="Arial"/>
          <w:sz w:val="22"/>
          <w:szCs w:val="22"/>
        </w:rPr>
        <w:t xml:space="preserve">XML Localisation Interchange File Format, used to move translatable content between systems.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6"/>
        <w:szCs w:val="16"/>
      </w:rPr>
      <w:t xml:space="preserve">Transmax — Confidential Review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Transmax — Code Review and Enterprise Upgrade Path</dc:title>
  <dc:creator>Transmax Review</dc:creator>
  <dc:description>Pharma-grade agentic translation platform review</dc:description>
  <cp:lastModifiedBy>Un-named</cp:lastModifiedBy>
  <cp:revision>1</cp:revision>
  <dcterms:created xsi:type="dcterms:W3CDTF">2026-04-30T23:48:11.753Z</dcterms:created>
  <dcterms:modified xsi:type="dcterms:W3CDTF">2026-04-30T23:48:11.754Z</dcterms:modified>
</cp:coreProperties>
</file>

<file path=docProps/custom.xml><?xml version="1.0" encoding="utf-8"?>
<Properties xmlns="http://schemas.openxmlformats.org/officeDocument/2006/custom-properties" xmlns:vt="http://schemas.openxmlformats.org/officeDocument/2006/docPropsVTypes"/>
</file>