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8.7</w:t>
      </w:r>
    </w:p>
    <w:p>
      <w:r>
        <w:rPr>
          <w:b/>
        </w:rPr>
        <w:t>Down-Titration Phone Call</w:t>
      </w:r>
    </w:p>
    <w:p>
      <w:r>
        <w:rPr>
          <w:b w:val="0"/>
          <w:i w:val="0"/>
        </w:rPr>
        <w:t>application and</w:t>
      </w:r>
      <w:r>
        <w:rPr>
          <w:b w:val="0"/>
          <w:i w:val="0"/>
        </w:rPr>
        <w:t>∀</w:t>
      </w:r>
      <w:r>
        <w:rPr>
          <w:b w:val="0"/>
          <w:i w:val="0"/>
        </w:rPr>
        <w:t>Recording of AEs</w:t>
      </w:r>
      <w:r>
        <w:rPr>
          <w:b w:val="0"/>
          <w:i w:val="0"/>
        </w:rPr>
        <w:t xml:space="preserve">COPY </w:t>
      </w:r>
      <w:r>
        <w:rPr>
          <w:b w:val="0"/>
          <w:i w:val="0"/>
        </w:rPr>
        <w:t>The Down-Titration Phone Call at the end of the Down-Titration Period is mandatory.</w:t>
      </w:r>
      <w:r>
        <w:rPr>
          <w:b w:val="0"/>
          <w:i w:val="0"/>
        </w:rPr>
        <w:t>of the</w:t>
      </w:r>
      <w:r>
        <w:rPr>
          <w:b w:val="0"/>
          <w:i w:val="0"/>
        </w:rPr>
        <w:t>of the</w:t>
      </w:r>
      <w:r>
        <w:rPr>
          <w:b w:val="0"/>
          <w:i w:val="0"/>
        </w:rPr>
        <w:t>Dow</w:t>
      </w:r>
      <w:r>
        <w:rPr>
          <w:b w:val="0"/>
          <w:i w:val="0"/>
        </w:rPr>
        <w:t>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  <w:br/>
              <w:t>jeeeccctttsss D</w:t>
            </w:r>
          </w:p>
        </w:tc>
        <w:tc>
          <w:tcPr>
            <w:tcW w:type="dxa" w:w="4320"/>
          </w:tcPr>
          <w:p>
            <w:r>
              <w:t>wwwwwhhhooo tttrrr u t</w:t>
            </w:r>
          </w:p>
        </w:tc>
      </w:tr>
    </w:tbl>
    <w:p>
      <w:r>
        <w:rPr>
          <w:b w:val="0"/>
          <w:i w:val="0"/>
        </w:rPr>
        <w:t xml:space="preserve">Down-titration is not applicable to subjects who transition to another BRV study or a </w:t>
      </w:r>
      <w:r>
        <w:rPr>
          <w:b w:val="0"/>
          <w:i w:val="0"/>
        </w:rPr>
        <w:t>jects w</w:t>
      </w:r>
      <w:r>
        <w:rPr>
          <w:b w:val="0"/>
          <w:i w:val="0"/>
        </w:rPr>
        <w:t>jects w</w:t>
      </w:r>
      <w:r>
        <w:rPr>
          <w:b w:val="0"/>
          <w:i w:val="0"/>
        </w:rPr>
        <w:t>who tr</w:t>
      </w:r>
      <w:r>
        <w:rPr>
          <w:b w:val="0"/>
          <w:i w:val="0"/>
        </w:rPr>
        <w:t>who 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tttyyyy</w:t>
              <w:br/>
              <w:t>R</w:t>
            </w:r>
          </w:p>
        </w:tc>
        <w:tc>
          <w:tcPr>
            <w:tcW w:type="dxa" w:w="2160"/>
          </w:tcPr>
          <w:p>
            <w:r>
              <w:t>E</w:t>
              <w:br/>
              <w:t>pppeee ooooo</w:t>
            </w:r>
          </w:p>
        </w:tc>
        <w:tc>
          <w:tcPr>
            <w:tcW w:type="dxa" w:w="2160"/>
          </w:tcPr>
          <w:p>
            <w:r>
              <w:t>fff ppppp g</w:t>
            </w:r>
          </w:p>
        </w:tc>
        <w:tc>
          <w:tcPr>
            <w:tcW w:type="dxa" w:w="2160"/>
          </w:tcPr>
          <w:p>
            <w:r>
              <w:t>rrrrrooo</w:t>
            </w:r>
          </w:p>
        </w:tc>
      </w:tr>
    </w:tbl>
    <w:p>
      <w:r>
        <w:rPr>
          <w:b w:val="0"/>
          <w:i w:val="0"/>
        </w:rPr>
        <w:t xml:space="preserve">authorization </w:t>
      </w:r>
      <w:r>
        <w:rPr>
          <w:b w:val="0"/>
          <w:i w:val="0"/>
        </w:rPr>
        <w:t xml:space="preserve">managed access program or similar type of program or who convert to commercial BRV (if, </w:t>
      </w:r>
      <w:r>
        <w:rPr>
          <w:b w:val="0"/>
          <w:i w:val="0"/>
        </w:rPr>
        <w:t>tytype o</w:t>
      </w:r>
      <w:r>
        <w:rPr>
          <w:b w:val="0"/>
          <w:i w:val="0"/>
        </w:rPr>
        <w:t>pe o</w:t>
      </w:r>
      <w:r>
        <w:rPr>
          <w:b w:val="0"/>
          <w:i w:val="0"/>
        </w:rPr>
        <w:t>y</w:t>
      </w:r>
      <w:r>
        <w:rPr>
          <w:b w:val="0"/>
          <w:i w:val="0"/>
        </w:rPr>
        <w:t>of pr</w:t>
      </w:r>
      <w:r>
        <w:rPr>
          <w:b w:val="0"/>
          <w:i w:val="0"/>
        </w:rPr>
        <w:t>of pr</w:t>
      </w:r>
      <w:r>
        <w:rPr>
          <w:b w:val="0"/>
          <w:i w:val="0"/>
        </w:rPr>
        <w:t>pro</w:t>
      </w:r>
      <w:r>
        <w:rPr>
          <w:b w:val="0"/>
          <w:i w:val="0"/>
        </w:rPr>
        <w:t>pro</w:t>
      </w:r>
      <w:r>
        <w:rPr>
          <w:b w:val="0"/>
          <w:i w:val="0"/>
        </w:rPr>
        <w:t xml:space="preserve">REDACTED </w:t>
      </w:r>
      <w:r>
        <w:rPr>
          <w:b w:val="0"/>
          <w:i w:val="0"/>
        </w:rPr>
        <w:t xml:space="preserve">when, and where available).  </w:t>
      </w:r>
    </w:p>
    <w:p>
      <w:r>
        <w:rPr>
          <w:b/>
        </w:rPr>
        <w:t>8.8</w:t>
      </w:r>
    </w:p>
    <w:p>
      <w:r>
        <w:rPr>
          <w:b/>
        </w:rPr>
        <w:t>Final Visit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Vital signs</w:t>
      </w:r>
      <w:r>
        <w:rPr>
          <w:b w:val="0"/>
          <w:i w:val="0"/>
        </w:rPr>
        <w:t>any marketing</w:t>
      </w:r>
      <w:r>
        <w:rPr>
          <w:b w:val="0"/>
          <w:i w:val="0"/>
        </w:rPr>
        <w:t>∀</w:t>
      </w:r>
      <w:r>
        <w:rPr>
          <w:b w:val="0"/>
          <w:i w:val="0"/>
        </w:rPr>
        <w:t>Weight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Physical examination</w:t>
      </w:r>
      <w:r>
        <w:rPr>
          <w:b w:val="0"/>
          <w:i w:val="0"/>
        </w:rPr>
        <w:t>tion</w:t>
      </w:r>
      <w:r>
        <w:rPr>
          <w:b w:val="0"/>
          <w:i w:val="0"/>
        </w:rPr>
        <w:t>ion</w:t>
      </w:r>
      <w:r>
        <w:rPr>
          <w:b w:val="0"/>
          <w:i w:val="0"/>
        </w:rPr>
        <w:t xml:space="preserve">support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xxxxx d</w:t>
            </w:r>
          </w:p>
        </w:tc>
        <w:tc>
          <w:tcPr>
            <w:tcW w:type="dxa" w:w="4320"/>
          </w:tcPr>
          <w:p>
            <w:r>
              <w:t>aaaaammm</w:t>
            </w:r>
          </w:p>
        </w:tc>
      </w:tr>
    </w:tbl>
    <w:p>
      <w:r>
        <w:rPr>
          <w:b w:val="0"/>
          <w:i w:val="0"/>
        </w:rPr>
        <w:t xml:space="preserve">to </w:t>
      </w:r>
      <w:r>
        <w:rPr>
          <w:b w:val="0"/>
          <w:i w:val="0"/>
        </w:rPr>
        <w:t>∀</w:t>
      </w:r>
      <w:r>
        <w:rPr>
          <w:b w:val="0"/>
          <w:i w:val="0"/>
        </w:rPr>
        <w:t>Neurological examination</w:t>
      </w:r>
      <w:r>
        <w:rPr>
          <w:b w:val="0"/>
          <w:i w:val="0"/>
        </w:rPr>
        <w:t xml:space="preserve"> exa</w:t>
      </w:r>
      <w:r>
        <w:rPr>
          <w:b w:val="0"/>
          <w:i w:val="0"/>
        </w:rPr>
        <w:t>exa</w:t>
      </w:r>
      <w:r>
        <w:rPr>
          <w:b w:val="0"/>
          <w:i w:val="0"/>
        </w:rPr>
        <w:t>xam</w:t>
      </w:r>
      <w:r>
        <w:rPr>
          <w:b w:val="0"/>
          <w:i w:val="0"/>
        </w:rPr>
        <w:t>xam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ECG (mandatory, except if the FV follows an EDV where ECG results were normal)</w:t>
      </w:r>
      <w:r>
        <w:rPr>
          <w:b w:val="0"/>
          <w:i w:val="0"/>
        </w:rPr>
        <w:t>an</w:t>
      </w:r>
      <w:r>
        <w:rPr>
          <w:b w:val="0"/>
          <w:i w:val="0"/>
        </w:rPr>
        <w:t>ndato</w:t>
      </w:r>
      <w:r>
        <w:rPr>
          <w:b w:val="0"/>
          <w:i w:val="0"/>
        </w:rPr>
        <w:t>ndat</w:t>
      </w:r>
      <w:r>
        <w:rPr>
          <w:b w:val="0"/>
          <w:i w:val="0"/>
        </w:rPr>
        <w:t>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ccc t</w:t>
            </w:r>
          </w:p>
        </w:tc>
        <w:tc>
          <w:tcPr>
            <w:tcW w:type="dxa" w:w="4320"/>
          </w:tcPr>
          <w:p>
            <w:r>
              <w:t>aaaaalll</w:t>
            </w:r>
          </w:p>
        </w:tc>
      </w:tr>
    </w:tbl>
    <w:p>
      <w:r>
        <w:rPr>
          <w:b w:val="0"/>
          <w:i w:val="0"/>
        </w:rPr>
        <w:t xml:space="preserve">be </w:t>
      </w:r>
      <w:r>
        <w:rPr>
          <w:b w:val="0"/>
          <w:i w:val="0"/>
        </w:rPr>
        <w:t>∀</w:t>
      </w:r>
      <w:r>
        <w:rPr>
          <w:b w:val="0"/>
          <w:i w:val="0"/>
        </w:rPr>
        <w:t>IVRS call</w:t>
      </w:r>
      <w:r>
        <w:rPr>
          <w:b w:val="0"/>
          <w:i w:val="0"/>
        </w:rPr>
        <w:t>S ca</w:t>
      </w:r>
      <w:r>
        <w:rPr>
          <w:b w:val="0"/>
          <w:i w:val="0"/>
        </w:rPr>
        <w:t>ca</w:t>
      </w:r>
      <w:r>
        <w:rPr>
          <w:b w:val="0"/>
          <w:i w:val="0"/>
        </w:rPr>
        <w:t>all</w:t>
      </w:r>
      <w:r>
        <w:rPr>
          <w:b w:val="0"/>
          <w:i w:val="0"/>
        </w:rPr>
        <w:t>all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DRC retrieved</w:t>
      </w:r>
      <w:r>
        <w:rPr>
          <w:b w:val="0"/>
          <w:i w:val="0"/>
        </w:rPr>
        <w:t>DRC</w:t>
      </w:r>
      <w:r>
        <w:rPr>
          <w:b w:val="0"/>
          <w:i w:val="0"/>
        </w:rPr>
        <w:t>DRC</w:t>
      </w:r>
      <w:r>
        <w:rPr>
          <w:b w:val="0"/>
          <w:i w:val="0"/>
        </w:rPr>
        <w:t xml:space="preserve">cannot </w:t>
      </w:r>
      <w:r>
        <w:rPr>
          <w:b w:val="0"/>
          <w:i w:val="0"/>
        </w:rPr>
        <w:t>∀</w:t>
      </w:r>
      <w:r>
        <w:rPr>
          <w:b w:val="0"/>
          <w:i w:val="0"/>
        </w:rPr>
        <w:t>Recording of seizures</w:t>
      </w:r>
      <w:r>
        <w:rPr>
          <w:b w:val="0"/>
          <w:i w:val="0"/>
        </w:rPr>
        <w:t>∀</w:t>
      </w:r>
      <w:r>
        <w:rPr>
          <w:b w:val="0"/>
          <w:i w:val="0"/>
        </w:rPr>
        <w:t>R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 xml:space="preserve">Laboratory safety assessments (mandatory, except if the FV follows an EDV where </w:t>
      </w:r>
      <w:r>
        <w:rPr>
          <w:b w:val="0"/>
          <w:i w:val="0"/>
        </w:rPr>
        <w:t>laboratory results were normal): hematology, blood chemistry, urinalysis, and urine</w:t>
      </w:r>
      <w:r>
        <w:rPr>
          <w:b w:val="0"/>
          <w:i w:val="0"/>
        </w:rPr>
        <w:t>pregnancy test (if applicable)</w:t>
      </w:r>
      <w:r>
        <w:rPr>
          <w:b w:val="0"/>
          <w:i w:val="0"/>
        </w:rPr>
        <w:t>This document</w:t>
      </w:r>
      <w:r>
        <w:rPr>
          <w:b w:val="0"/>
          <w:i w:val="0"/>
        </w:rPr>
        <w:t>∀</w:t>
      </w:r>
      <w:r>
        <w:rPr>
          <w:b w:val="0"/>
          <w:i w:val="0"/>
        </w:rPr>
        <w:t>Recording of AEs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Suicidality assessment (C-SSRS)</w:t>
      </w:r>
      <w:r>
        <w:rPr>
          <w:b w:val="0"/>
          <w:i w:val="0"/>
        </w:rPr>
        <w:t>UCB</w:t>
      </w:r>
      <w:r>
        <w:rPr>
          <w:b w:val="0"/>
          <w:i w:val="0"/>
        </w:rPr>
        <w:t>15 May 2015</w:t>
      </w:r>
      <w:r>
        <w:rPr>
          <w:b w:val="0"/>
          <w:i w:val="0"/>
        </w:rPr>
        <w:t xml:space="preserve">Clinical Study Protocol </w:t>
      </w:r>
      <w:r>
        <w:rPr>
          <w:b w:val="0"/>
          <w:i w:val="0"/>
        </w:rPr>
        <w:t>Brivaracetam</w:t>
      </w:r>
      <w:r>
        <w:rPr>
          <w:b w:val="0"/>
          <w:i w:val="0"/>
        </w:rPr>
        <w:t>N01379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Medical procedures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Concomitant AED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Concomitant non-AED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Drug return/accountability</w:t>
      </w:r>
    </w:p>
    <w:p>
      <w:r>
        <w:rPr>
          <w:b w:val="0"/>
          <w:i w:val="0"/>
        </w:rPr>
        <w:t>∀</w:t>
      </w:r>
      <w:r>
        <w:rPr>
          <w:b w:val="0"/>
          <w:i w:val="0"/>
        </w:rPr>
        <w:t>End of study status</w:t>
      </w:r>
      <w:r>
        <w:rPr>
          <w:b w:val="0"/>
          <w:i w:val="0"/>
        </w:rPr>
        <w:t xml:space="preserve">The FV is not applicable to subjects who transition to another BRV study or a managed </w:t>
      </w:r>
      <w:r>
        <w:rPr>
          <w:b w:val="0"/>
          <w:i w:val="0"/>
        </w:rPr>
        <w:t xml:space="preserve">variations thereof.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eeennnnn</w:t>
            </w:r>
          </w:p>
        </w:tc>
        <w:tc>
          <w:tcPr>
            <w:tcW w:type="dxa" w:w="4320"/>
          </w:tcPr>
          <w:p>
            <w:r>
              <w:t>o</w:t>
              <w:br/>
              <w:t>,, aaa</w:t>
            </w:r>
          </w:p>
        </w:tc>
      </w:tr>
    </w:tbl>
    <w:p>
      <w:r>
        <w:rPr>
          <w:b w:val="0"/>
          <w:i w:val="0"/>
        </w:rPr>
        <w:t xml:space="preserve">access program or similar type of program or who convert to commercial BRV (if, when, and </w:t>
      </w:r>
      <w:r>
        <w:rPr>
          <w:b w:val="0"/>
          <w:i w:val="0"/>
        </w:rPr>
        <w:t>hen</w:t>
      </w:r>
      <w:r>
        <w:rPr>
          <w:b w:val="0"/>
          <w:i w:val="0"/>
        </w:rPr>
        <w:t>en</w:t>
      </w:r>
      <w:r>
        <w:rPr>
          <w:b w:val="0"/>
          <w:i w:val="0"/>
        </w:rPr>
        <w:t>n, an</w:t>
      </w:r>
      <w:r>
        <w:rPr>
          <w:b w:val="0"/>
          <w:i w:val="0"/>
        </w:rPr>
        <w:t>n a</w:t>
      </w:r>
      <w:r>
        <w:rPr>
          <w:b w:val="0"/>
          <w:i w:val="0"/>
        </w:rPr>
        <w:t xml:space="preserve">or </w:t>
      </w:r>
      <w:r>
        <w:rPr>
          <w:b w:val="0"/>
          <w:i w:val="0"/>
        </w:rPr>
        <w:t>where available).</w:t>
      </w:r>
    </w:p>
    <w:p>
      <w:r>
        <w:rPr>
          <w:b/>
        </w:rPr>
        <w:t>ASSESSMENT OF EFFICACY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rrrddddd y</w:t>
            </w:r>
          </w:p>
        </w:tc>
        <w:tc>
          <w:tcPr>
            <w:tcW w:type="dxa" w:w="4320"/>
          </w:tcPr>
          <w:p>
            <w:r>
              <w:t>eeeeddd</w:t>
            </w:r>
          </w:p>
        </w:tc>
      </w:tr>
    </w:tbl>
    <w:p>
      <w:r>
        <w:rPr>
          <w:b w:val="0"/>
          <w:i w:val="0"/>
        </w:rPr>
        <w:t xml:space="preserve">extensions </w:t>
      </w:r>
      <w:r>
        <w:rPr>
          <w:b w:val="0"/>
          <w:i w:val="0"/>
        </w:rPr>
        <w:t xml:space="preserve">Efficacy variables will be assessed using the seizure count information recorded on the DRC. </w:t>
      </w:r>
      <w:r>
        <w:rPr>
          <w:b w:val="0"/>
          <w:i w:val="0"/>
        </w:rPr>
        <w:t>orde</w:t>
      </w:r>
      <w:r>
        <w:rPr>
          <w:b w:val="0"/>
          <w:i w:val="0"/>
        </w:rPr>
        <w:t>ord</w:t>
      </w:r>
      <w:r>
        <w:rPr>
          <w:b w:val="0"/>
          <w:i w:val="0"/>
        </w:rPr>
        <w:t>ded</w:t>
      </w:r>
      <w:r>
        <w:rPr>
          <w:b w:val="0"/>
          <w:i w:val="0"/>
        </w:rPr>
        <w:t>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www d</w:t>
            </w:r>
          </w:p>
        </w:tc>
        <w:tc>
          <w:tcPr>
            <w:tcW w:type="dxa" w:w="4320"/>
          </w:tcPr>
          <w:p>
            <w:r>
              <w:t>hhhhhiii</w:t>
            </w:r>
          </w:p>
        </w:tc>
      </w:tr>
    </w:tbl>
    <w:p>
      <w:r>
        <w:rPr>
          <w:b w:val="0"/>
          <w:i w:val="0"/>
        </w:rPr>
        <w:t>any</w:t>
      </w:r>
      <w:r>
        <w:rPr>
          <w:b w:val="0"/>
          <w:i w:val="0"/>
        </w:rPr>
        <w:t xml:space="preserve">At each visit, the subject will receive a DRC, to be filled in on days on which a seizure </w:t>
      </w:r>
      <w:r>
        <w:rPr>
          <w:b w:val="0"/>
          <w:i w:val="0"/>
        </w:rPr>
        <w:t>n wh</w:t>
      </w:r>
      <w:r>
        <w:rPr>
          <w:b w:val="0"/>
          <w:i w:val="0"/>
        </w:rPr>
        <w:t>wh</w:t>
      </w:r>
      <w:r>
        <w:rPr>
          <w:b w:val="0"/>
          <w:i w:val="0"/>
        </w:rPr>
        <w:t>hich</w:t>
      </w:r>
      <w:r>
        <w:rPr>
          <w:b w:val="0"/>
          <w:i w:val="0"/>
        </w:rPr>
        <w:t>hic</w:t>
      </w:r>
      <w:r>
        <w:rPr>
          <w:b w:val="0"/>
          <w:i w:val="0"/>
        </w:rPr>
        <w:t>occurs, and to be returned at the next visit. No DRC will be dispensed at the UV or the FV.</w:t>
      </w:r>
      <w:r>
        <w:rPr>
          <w:b w:val="0"/>
          <w:i w:val="0"/>
        </w:rPr>
        <w:t>se</w:t>
      </w:r>
      <w:r>
        <w:rPr>
          <w:b w:val="0"/>
          <w:i w:val="0"/>
        </w:rPr>
        <w:t xml:space="preserve">ed at </w:t>
      </w:r>
      <w:r>
        <w:rPr>
          <w:b w:val="0"/>
          <w:i w:val="0"/>
        </w:rPr>
        <w:t>d at</w:t>
      </w:r>
      <w:r>
        <w:rPr>
          <w:b w:val="0"/>
          <w:i w:val="0"/>
        </w:rPr>
        <w:t xml:space="preserve">and </w:t>
      </w:r>
      <w:r>
        <w:rPr>
          <w:b w:val="0"/>
          <w:i w:val="0"/>
        </w:rPr>
        <w:t xml:space="preserve">The date and the number (where possible) of epileptic seizures will be recorded on the DRC, </w:t>
      </w:r>
      <w:r>
        <w:rPr>
          <w:b w:val="0"/>
          <w:i w:val="0"/>
        </w:rPr>
        <w:t>will b</w:t>
      </w:r>
      <w:r>
        <w:rPr>
          <w:b w:val="0"/>
          <w:i w:val="0"/>
        </w:rPr>
        <w:t>will b</w:t>
      </w:r>
      <w:r>
        <w:rPr>
          <w:b w:val="0"/>
          <w:i w:val="0"/>
        </w:rPr>
        <w:t xml:space="preserve">as well as the type of seizure (according to individual description of seizures), occurrence of </w:t>
      </w:r>
      <w:r>
        <w:rPr>
          <w:b w:val="0"/>
          <w:i w:val="0"/>
        </w:rPr>
        <w:t>iption o</w:t>
      </w:r>
      <w:r>
        <w:rPr>
          <w:b w:val="0"/>
          <w:i w:val="0"/>
        </w:rPr>
        <w:t xml:space="preserve">ption </w:t>
      </w:r>
      <w:r>
        <w:rPr>
          <w:b w:val="0"/>
          <w:i w:val="0"/>
        </w:rPr>
        <w:t>clusters, intake of concomitant AEDs, undesirable events with start and end dates, healthcare</w:t>
      </w:r>
      <w:r>
        <w:rPr>
          <w:b w:val="0"/>
          <w:i w:val="0"/>
        </w:rPr>
        <w:t>events</w:t>
      </w:r>
      <w:r>
        <w:rPr>
          <w:b w:val="0"/>
          <w:i w:val="0"/>
        </w:rPr>
        <w:t>vent</w:t>
      </w:r>
      <w:r>
        <w:rPr>
          <w:b w:val="0"/>
          <w:i w:val="0"/>
        </w:rPr>
        <w:t>with s</w:t>
      </w:r>
      <w:r>
        <w:rPr>
          <w:b w:val="0"/>
          <w:i w:val="0"/>
        </w:rPr>
        <w:t>with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hhhaaannnn n</w:t>
            </w:r>
          </w:p>
        </w:tc>
        <w:tc>
          <w:tcPr>
            <w:tcW w:type="dxa" w:w="4320"/>
          </w:tcPr>
          <w:p>
            <w:r>
              <w:t>gg</w:t>
            </w:r>
          </w:p>
        </w:tc>
      </w:tr>
    </w:tbl>
    <w:p>
      <w:r>
        <w:rPr>
          <w:b w:val="0"/>
          <w:i w:val="0"/>
        </w:rPr>
        <w:t xml:space="preserve">application </w:t>
      </w:r>
      <w:r>
        <w:rPr>
          <w:b w:val="0"/>
          <w:i w:val="0"/>
        </w:rPr>
        <w:t xml:space="preserve">provider consultations not foreseen per protocol, and changes in concomitant medication, if </w:t>
      </w:r>
      <w:r>
        <w:rPr>
          <w:b w:val="0"/>
          <w:i w:val="0"/>
        </w:rPr>
        <w:t>and c</w:t>
      </w:r>
      <w:r>
        <w:rPr>
          <w:b w:val="0"/>
          <w:i w:val="0"/>
        </w:rPr>
        <w:t>and c</w:t>
      </w:r>
      <w:r>
        <w:rPr>
          <w:b w:val="0"/>
          <w:i w:val="0"/>
        </w:rPr>
        <w:t>chan</w:t>
      </w:r>
      <w:r>
        <w:rPr>
          <w:b w:val="0"/>
          <w:i w:val="0"/>
        </w:rPr>
        <w:t>han</w:t>
      </w:r>
      <w:r>
        <w:rPr>
          <w:b w:val="0"/>
          <w:i w:val="0"/>
        </w:rPr>
        <w:t>nge</w:t>
      </w:r>
      <w:r>
        <w:rPr>
          <w:b w:val="0"/>
          <w:i w:val="0"/>
        </w:rPr>
        <w:t>COPY</w:t>
      </w:r>
      <w:r>
        <w:rPr>
          <w:b w:val="0"/>
          <w:i w:val="0"/>
        </w:rPr>
        <w:t>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edd</w:t>
            </w:r>
          </w:p>
        </w:tc>
        <w:tc>
          <w:tcPr>
            <w:tcW w:type="dxa" w:w="1440"/>
          </w:tcPr>
          <w:p>
            <w:r>
              <w:t>T</w:t>
              <w:br/>
              <w:t>wwwiiittthhh 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  <w:br/>
              <w:t>ttthhheee sss o</w:t>
              <w:br/>
              <w:t>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</w:t>
              <w:br/>
              <w:t>ooofff ttt 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hhhh</w:t>
            </w:r>
          </w:p>
        </w:tc>
        <w:tc>
          <w:tcPr>
            <w:tcW w:type="dxa" w:w="1440"/>
          </w:tcPr>
          <w:p>
            <w:r>
              <w:t>eee dddiiisss u 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cccus</w:t>
            </w:r>
          </w:p>
        </w:tc>
      </w:tr>
    </w:tbl>
    <w:p>
      <w:r>
        <w:rPr>
          <w:b w:val="0"/>
          <w:i w:val="0"/>
        </w:rPr>
        <w:t xml:space="preserve">The written information will be discussed with the subject at each visit in order to ensure </w:t>
      </w:r>
      <w:r>
        <w:rPr>
          <w:b w:val="0"/>
          <w:i w:val="0"/>
        </w:rPr>
        <w:t xml:space="preserve">d with </w:t>
      </w:r>
      <w:r>
        <w:rPr>
          <w:b w:val="0"/>
          <w:i w:val="0"/>
        </w:rPr>
        <w:t xml:space="preserve">with </w:t>
      </w:r>
      <w:r>
        <w:rPr>
          <w:b w:val="0"/>
          <w:i w:val="0"/>
        </w:rPr>
        <w:t>the su</w:t>
      </w:r>
      <w:r>
        <w:rPr>
          <w:b w:val="0"/>
          <w:i w:val="0"/>
        </w:rPr>
        <w:t>the su</w:t>
      </w:r>
      <w:r>
        <w:rPr>
          <w:b w:val="0"/>
          <w:i w:val="0"/>
        </w:rPr>
        <w:t xml:space="preserve">completeness and accuracy. As a result of the discussion, the Investigator will assess the </w:t>
      </w:r>
      <w:r>
        <w:rPr>
          <w:b w:val="0"/>
          <w:i w:val="0"/>
        </w:rPr>
        <w:t>t of th</w:t>
      </w:r>
      <w:r>
        <w:rPr>
          <w:b w:val="0"/>
          <w:i w:val="0"/>
        </w:rPr>
        <w:t>t of th</w:t>
      </w:r>
      <w:r>
        <w:rPr>
          <w:b w:val="0"/>
          <w:i w:val="0"/>
        </w:rPr>
        <w:t>he disc</w:t>
      </w:r>
      <w:r>
        <w:rPr>
          <w:b w:val="0"/>
          <w:i w:val="0"/>
        </w:rPr>
        <w:t>e disc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eee g</w:t>
            </w:r>
          </w:p>
        </w:tc>
        <w:tc>
          <w:tcPr>
            <w:tcW w:type="dxa" w:w="4320"/>
          </w:tcPr>
          <w:p>
            <w:r>
              <w:t>cccccooo</w:t>
            </w:r>
          </w:p>
        </w:tc>
      </w:tr>
    </w:tbl>
    <w:p>
      <w:r>
        <w:rPr>
          <w:b w:val="0"/>
          <w:i w:val="0"/>
        </w:rPr>
        <w:t>authorization</w:t>
      </w:r>
      <w:r>
        <w:rPr>
          <w:b w:val="0"/>
          <w:i w:val="0"/>
        </w:rPr>
        <w:t xml:space="preserve">seizures according to the ILAE codes and record the seizure types and frequency on the CRF; </w:t>
      </w:r>
      <w:r>
        <w:rPr>
          <w:b w:val="0"/>
          <w:i w:val="0"/>
        </w:rPr>
        <w:t>es and</w:t>
      </w:r>
      <w:r>
        <w:rPr>
          <w:b w:val="0"/>
          <w:i w:val="0"/>
        </w:rPr>
        <w:t>s and</w:t>
      </w:r>
      <w:r>
        <w:rPr>
          <w:b w:val="0"/>
          <w:i w:val="0"/>
        </w:rPr>
        <w:t>rec</w:t>
      </w:r>
      <w:r>
        <w:rPr>
          <w:b w:val="0"/>
          <w:i w:val="0"/>
        </w:rPr>
        <w:t>rec</w:t>
      </w:r>
      <w:r>
        <w:rPr>
          <w:b w:val="0"/>
          <w:i w:val="0"/>
        </w:rPr>
        <w:t>cor</w:t>
      </w:r>
      <w:r>
        <w:rPr>
          <w:b w:val="0"/>
          <w:i w:val="0"/>
        </w:rPr>
        <w:t>cor</w:t>
      </w:r>
      <w:r>
        <w:rPr>
          <w:b w:val="0"/>
          <w:i w:val="0"/>
        </w:rPr>
        <w:t xml:space="preserve">REDACTED </w:t>
      </w:r>
      <w:r>
        <w:rPr>
          <w:b w:val="0"/>
          <w:i w:val="0"/>
        </w:rPr>
        <w:t xml:space="preserve">he/she will also confirm the presence of AEs (if applicable). The concomitant medication </w:t>
      </w:r>
      <w:r>
        <w:rPr>
          <w:b w:val="0"/>
          <w:i w:val="0"/>
        </w:rPr>
        <w:t>of AEs</w:t>
      </w:r>
      <w:r>
        <w:rPr>
          <w:b w:val="0"/>
          <w:i w:val="0"/>
        </w:rPr>
        <w:t>f AEs</w:t>
      </w:r>
      <w:r>
        <w:rPr>
          <w:b w:val="0"/>
          <w:i w:val="0"/>
        </w:rPr>
        <w:t xml:space="preserve">changes, healthcare provider consultations not foreseen per protocol, and AEs will be </w:t>
      </w:r>
      <w:r>
        <w:rPr>
          <w:b w:val="0"/>
          <w:i w:val="0"/>
        </w:rPr>
        <w:t>ltations</w:t>
      </w:r>
      <w:r>
        <w:rPr>
          <w:b w:val="0"/>
          <w:i w:val="0"/>
        </w:rPr>
        <w:t>tation</w:t>
      </w:r>
      <w:r>
        <w:rPr>
          <w:b w:val="0"/>
          <w:i w:val="0"/>
        </w:rPr>
        <w:t>reported by the Investigator on the specific pages of the CRF.</w:t>
      </w:r>
      <w:r>
        <w:rPr>
          <w:b w:val="0"/>
          <w:i w:val="0"/>
        </w:rPr>
        <w:t>e spec</w:t>
      </w:r>
      <w:r>
        <w:rPr>
          <w:b w:val="0"/>
          <w:i w:val="0"/>
        </w:rPr>
        <w:t>e spe</w:t>
      </w:r>
      <w:r>
        <w:rPr>
          <w:b w:val="0"/>
          <w:i w:val="0"/>
        </w:rPr>
        <w:t xml:space="preserve">marketing </w:t>
      </w:r>
      <w:r>
        <w:rPr>
          <w:b w:val="0"/>
          <w:i w:val="0"/>
        </w:rPr>
        <w:t xml:space="preserve">The DRC will be considered as source documentation. The subject should be educated to </w:t>
      </w:r>
      <w:r>
        <w:rPr>
          <w:b w:val="0"/>
          <w:i w:val="0"/>
        </w:rPr>
        <w:t>as sou</w:t>
      </w:r>
      <w:r>
        <w:rPr>
          <w:b w:val="0"/>
          <w:i w:val="0"/>
        </w:rPr>
        <w:t>as sou</w:t>
      </w:r>
      <w:r>
        <w:rPr>
          <w:b w:val="0"/>
          <w:i w:val="0"/>
        </w:rPr>
        <w:t xml:space="preserve">any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</w:t>
              <w:br/>
              <w:t>aaayyy o</w:t>
            </w:r>
          </w:p>
        </w:tc>
        <w:tc>
          <w:tcPr>
            <w:tcW w:type="dxa" w:w="4320"/>
          </w:tcPr>
          <w:p>
            <w:r>
              <w:t>sss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 xml:space="preserve">complete the DRC on all days with seizures (eg, when taking evening tablets). Substantial </w:t>
      </w:r>
      <w:r>
        <w:rPr>
          <w:b w:val="0"/>
          <w:i w:val="0"/>
        </w:rPr>
        <w:t>day</w:t>
      </w:r>
      <w:r>
        <w:rPr>
          <w:b w:val="0"/>
          <w:i w:val="0"/>
        </w:rPr>
        <w:t>days w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noncompliance with diary completion (seizures recording) may result in subject </w:t>
      </w:r>
      <w:r>
        <w:rPr>
          <w:b w:val="0"/>
          <w:i w:val="0"/>
        </w:rPr>
        <w:t>iary co</w:t>
      </w:r>
      <w:r>
        <w:rPr>
          <w:b w:val="0"/>
          <w:i w:val="0"/>
        </w:rPr>
        <w:t>ary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mmm tttt</w:t>
            </w:r>
          </w:p>
        </w:tc>
        <w:tc>
          <w:tcPr>
            <w:tcW w:type="dxa" w:w="4320"/>
          </w:tcPr>
          <w:p>
            <w:r>
              <w:t>s</w:t>
              <w:br/>
              <w:t>hhhheee</w:t>
            </w:r>
          </w:p>
        </w:tc>
      </w:tr>
      <w:tr>
        <w:tc>
          <w:tcPr>
            <w:tcW w:type="dxa" w:w="4320"/>
          </w:tcPr>
          <w:p>
            <w:r>
              <w:t>o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>support</w:t>
      </w:r>
      <w:r>
        <w:rPr>
          <w:b w:val="0"/>
          <w:i w:val="0"/>
        </w:rPr>
        <w:t>discontinuation from the study at any time by the Investigator or the Sponsor.</w:t>
      </w:r>
      <w:r>
        <w:rPr>
          <w:b w:val="0"/>
          <w:i w:val="0"/>
        </w:rPr>
        <w:t>m th</w:t>
      </w:r>
      <w:r>
        <w:rPr>
          <w:b w:val="0"/>
          <w:i w:val="0"/>
        </w:rPr>
        <w:t>m t</w:t>
      </w:r>
      <w:r>
        <w:rPr>
          <w:b w:val="0"/>
          <w:i w:val="0"/>
        </w:rPr>
        <w:t>the s</w:t>
      </w:r>
      <w:r>
        <w:rPr>
          <w:b w:val="0"/>
          <w:i w:val="0"/>
        </w:rPr>
        <w:t>he</w:t>
      </w:r>
      <w:r>
        <w:rPr>
          <w:b w:val="0"/>
          <w:i w:val="0"/>
        </w:rPr>
        <w:t xml:space="preserve">to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ddd e</w:t>
            </w:r>
          </w:p>
        </w:tc>
        <w:tc>
          <w:tcPr>
            <w:tcW w:type="dxa" w:w="4320"/>
          </w:tcPr>
          <w:p>
            <w:r>
              <w:t>d</w:t>
              <w:br/>
              <w:t>dd</w:t>
            </w:r>
          </w:p>
        </w:tc>
      </w:tr>
    </w:tbl>
    <w:p>
      <w:r>
        <w:rPr>
          <w:b/>
        </w:rPr>
        <w:t>9.1</w:t>
      </w:r>
    </w:p>
    <w:p>
      <w:r>
        <w:rPr>
          <w:b/>
        </w:rPr>
        <w:t>Additional efficacy and pharmacoeconomic assessments</w:t>
      </w:r>
    </w:p>
    <w:p>
      <w:r>
        <w:rPr>
          <w:b/>
        </w:rPr>
        <w:t>Ad</w:t>
      </w:r>
    </w:p>
    <w:p>
      <w:r>
        <w:rPr>
          <w:b/>
        </w:rPr>
        <w:t>Add</w:t>
      </w:r>
    </w:p>
    <w:p>
      <w:r>
        <w:rPr>
          <w:b/>
        </w:rPr>
        <w:t>9.1.1</w:t>
      </w:r>
    </w:p>
    <w:p>
      <w:r>
        <w:rPr>
          <w:b/>
        </w:rPr>
        <w:t>QOLIE-31-P scores</w:t>
      </w:r>
    </w:p>
    <w:p>
      <w:r>
        <w:rPr>
          <w:b/>
        </w:rPr>
        <w:t>Q</w:t>
      </w:r>
    </w:p>
    <w:p>
      <w:r>
        <w:rPr>
          <w:b w:val="0"/>
          <w:i w:val="0"/>
        </w:rPr>
        <w:t>be used</w:t>
      </w:r>
      <w:r>
        <w:rPr>
          <w:b w:val="0"/>
          <w:i w:val="0"/>
        </w:rPr>
        <w:t xml:space="preserve">The QOLIE-31-P - Version 2.0 (see Section </w:t>
      </w:r>
      <w:r>
        <w:rPr>
          <w:b w:val="0"/>
          <w:i w:val="0"/>
        </w:rPr>
        <w:t>16.1</w:t>
      </w:r>
      <w:r>
        <w:rPr>
          <w:b w:val="0"/>
          <w:i w:val="0"/>
        </w:rPr>
        <w:t xml:space="preserve">) will be used to evaluate the HRQoL of </w:t>
      </w:r>
      <w:r>
        <w:rPr>
          <w:b w:val="0"/>
          <w:i w:val="0"/>
        </w:rPr>
        <w:t>OLIE</w:t>
      </w:r>
      <w:r>
        <w:rPr>
          <w:b w:val="0"/>
          <w:i w:val="0"/>
        </w:rPr>
        <w:t>OLIE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yyy</w:t>
            </w:r>
          </w:p>
        </w:tc>
        <w:tc>
          <w:tcPr>
            <w:tcW w:type="dxa" w:w="4320"/>
          </w:tcPr>
          <w:p>
            <w:r>
              <w:t>n</w:t>
              <w:br/>
              <w:t>sssuuubbb a</w:t>
            </w:r>
          </w:p>
        </w:tc>
      </w:tr>
    </w:tbl>
    <w:p>
      <w:r>
        <w:rPr>
          <w:b w:val="0"/>
          <w:i w:val="0"/>
        </w:rPr>
        <w:t>dy subj</w:t>
      </w:r>
      <w:r>
        <w:rPr>
          <w:b w:val="0"/>
          <w:i w:val="0"/>
        </w:rPr>
        <w:t>sub</w:t>
      </w:r>
      <w:r>
        <w:rPr>
          <w:b w:val="0"/>
          <w:i w:val="0"/>
        </w:rPr>
        <w:t>y</w:t>
      </w:r>
      <w:r>
        <w:rPr>
          <w:b w:val="0"/>
          <w:i w:val="0"/>
        </w:rPr>
        <w:t>study subjects (Cramer and Van Hammée, 2003).</w:t>
      </w:r>
      <w:r>
        <w:rPr>
          <w:b w:val="0"/>
          <w:i w:val="0"/>
        </w:rPr>
        <w:t>cannot</w:t>
      </w:r>
      <w:r>
        <w:rPr>
          <w:b w:val="0"/>
          <w:i w:val="0"/>
        </w:rPr>
        <w:t xml:space="preserve">The QOLIE-31-P is an adaptation of the original QOLIE-31 instrument (Cramer et al, 1998) </w:t>
      </w:r>
      <w:r>
        <w:rPr>
          <w:b w:val="0"/>
          <w:i w:val="0"/>
        </w:rPr>
        <w:t xml:space="preserve">The </w:t>
      </w:r>
      <w:r>
        <w:rPr>
          <w:b w:val="0"/>
          <w:i w:val="0"/>
        </w:rPr>
        <w:t xml:space="preserve">The </w:t>
      </w:r>
      <w:r>
        <w:rPr>
          <w:b w:val="0"/>
          <w:i w:val="0"/>
        </w:rPr>
        <w:t xml:space="preserve">that includes 30 items grouped into 7 multi-item subscales: seizure worry (5 items), overall </w:t>
      </w:r>
      <w:r>
        <w:rPr>
          <w:b w:val="0"/>
          <w:i w:val="0"/>
        </w:rPr>
        <w:t>tha</w:t>
      </w:r>
      <w:r>
        <w:rPr>
          <w:b w:val="0"/>
          <w:i w:val="0"/>
        </w:rPr>
        <w:t>tha</w:t>
      </w:r>
      <w:r>
        <w:rPr>
          <w:b w:val="0"/>
          <w:i w:val="0"/>
        </w:rPr>
        <w:t xml:space="preserve">quality of life (2 items), emotional well-being (5 items), energy/fatigue (4 items), cognitive </w:t>
      </w:r>
      <w:r>
        <w:rPr>
          <w:b w:val="0"/>
          <w:i w:val="0"/>
        </w:rPr>
        <w:t xml:space="preserve">functioning (6 items), medication effects (3 items), social function (5 items), and a health </w:t>
      </w:r>
      <w:r>
        <w:rPr>
          <w:b w:val="0"/>
          <w:i w:val="0"/>
        </w:rPr>
        <w:t xml:space="preserve">status item. The subscale scores, the total score, and the health status item score are </w:t>
      </w:r>
      <w:r>
        <w:rPr>
          <w:b w:val="0"/>
          <w:i w:val="0"/>
        </w:rPr>
        <w:t>This document</w:t>
      </w:r>
      <w:r>
        <w:rPr>
          <w:b w:val="0"/>
          <w:i w:val="0"/>
        </w:rPr>
        <w:t xml:space="preserve">calculated according to the scoring algorithm defined by the author, with scores ranging from </w:t>
      </w:r>
      <w:r>
        <w:rPr>
          <w:b w:val="0"/>
          <w:i w:val="0"/>
        </w:rPr>
        <w:t xml:space="preserve">0 to 100 and higher scores indicating better function. In addition to these 31 items, the </w:t>
      </w:r>
      <w:r>
        <w:rPr>
          <w:b w:val="0"/>
          <w:i w:val="0"/>
        </w:rPr>
        <w:t>UCB</w:t>
      </w:r>
      <w:r>
        <w:rPr>
          <w:b w:val="0"/>
          <w:i w:val="0"/>
        </w:rPr>
        <w:t>15 May 2015</w:t>
      </w:r>
      <w:r>
        <w:rPr>
          <w:b w:val="0"/>
          <w:i w:val="0"/>
        </w:rPr>
        <w:t xml:space="preserve">Clinical Study Protocol </w:t>
      </w:r>
      <w:r>
        <w:rPr>
          <w:b w:val="0"/>
          <w:i w:val="0"/>
        </w:rPr>
        <w:t>Brivaracetam</w:t>
      </w:r>
      <w:r>
        <w:rPr>
          <w:b w:val="0"/>
          <w:i w:val="0"/>
        </w:rPr>
        <w:t>N01379</w:t>
      </w:r>
    </w:p>
    <w:p>
      <w:r>
        <w:rPr>
          <w:b w:val="0"/>
          <w:i w:val="0"/>
        </w:rPr>
        <w:t xml:space="preserve">QOLIE-31-P contains 7 items assessing the degree of “distress” associated with the topic of </w:t>
      </w:r>
      <w:r>
        <w:rPr>
          <w:b w:val="0"/>
          <w:i w:val="0"/>
        </w:rPr>
        <w:t xml:space="preserve">each subscale (ie, distress items) and 1 item asking about the relative importance of each </w:t>
      </w:r>
      <w:r>
        <w:rPr>
          <w:b w:val="0"/>
          <w:i w:val="0"/>
        </w:rPr>
        <w:t xml:space="preserve">subscale topic (ie, prioritization item). The QOLIE-31-P will be completed by subjects who </w:t>
      </w:r>
      <w:r>
        <w:rPr>
          <w:b w:val="0"/>
          <w:i w:val="0"/>
        </w:rPr>
        <w:t xml:space="preserve">are able to complete the assessments on their own, during the first 2 years at the FEV, YEV, </w:t>
      </w:r>
      <w:r>
        <w:rPr>
          <w:b w:val="0"/>
          <w:i w:val="0"/>
        </w:rPr>
        <w:t>Last Evaluation Period Visit, and EDV.</w:t>
      </w:r>
    </w:p>
    <w:p>
      <w:r>
        <w:rPr>
          <w:b/>
        </w:rPr>
        <w:t>9.1.2</w:t>
      </w:r>
    </w:p>
    <w:p>
      <w:r>
        <w:rPr>
          <w:b/>
        </w:rPr>
        <w:t>Socio-professional data</w:t>
      </w:r>
    </w:p>
    <w:p>
      <w:r>
        <w:rPr>
          <w:b w:val="0"/>
          <w:i w:val="0"/>
        </w:rPr>
        <w:t xml:space="preserve">Socio-professional data, such as highest level of education, current professional status, </w:t>
      </w:r>
      <w:r>
        <w:rPr>
          <w:b w:val="0"/>
          <w:i w:val="0"/>
        </w:rPr>
        <w:t xml:space="preserve">housing status, regular assistance, and ability to drive, will be collected at the YEV, Last </w:t>
      </w:r>
      <w:r>
        <w:rPr>
          <w:b w:val="0"/>
          <w:i w:val="0"/>
        </w:rPr>
        <w:t xml:space="preserve">or variations thereof. </w:t>
      </w:r>
      <w:r>
        <w:rPr>
          <w:b w:val="0"/>
          <w:i w:val="0"/>
        </w:rPr>
        <w:t>Evaluation Period Visit, and EDV during the first 2 years.</w:t>
      </w:r>
    </w:p>
    <w:p>
      <w:r>
        <w:rPr>
          <w:b/>
        </w:rPr>
        <w:t>9.1.3</w:t>
      </w:r>
    </w:p>
    <w:p>
      <w:r>
        <w:rPr>
          <w:b/>
        </w:rPr>
        <w:t>Medical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alii</w:t>
            </w:r>
          </w:p>
        </w:tc>
        <w:tc>
          <w:tcPr>
            <w:tcW w:type="dxa" w:w="4320"/>
          </w:tcPr>
          <w:p>
            <w:r>
              <w:t>zzzaaatttiii e x</w:t>
            </w:r>
          </w:p>
        </w:tc>
      </w:tr>
      <w:tr>
        <w:tc>
          <w:tcPr>
            <w:tcW w:type="dxa" w:w="4320"/>
          </w:tcPr>
          <w:p>
            <w:r>
              <w:t>eeeccctttrrr n y</w:t>
            </w:r>
          </w:p>
        </w:tc>
        <w:tc>
          <w:tcPr>
            <w:tcW w:type="dxa" w:w="4320"/>
          </w:tcPr>
          <w:p>
            <w:r>
              <w:t>ooca</w:t>
            </w:r>
          </w:p>
        </w:tc>
      </w:tr>
    </w:tbl>
    <w:p>
      <w:r>
        <w:rPr>
          <w:b w:val="0"/>
          <w:i w:val="0"/>
        </w:rPr>
        <w:t xml:space="preserve">Data on medical procedures (surgery, therapeutic and/or diagnostic, hospitalizations) </w:t>
      </w:r>
      <w:r>
        <w:rPr>
          <w:b w:val="0"/>
          <w:i w:val="0"/>
        </w:rPr>
        <w:t>izatio</w:t>
      </w:r>
      <w:r>
        <w:rPr>
          <w:b w:val="0"/>
          <w:i w:val="0"/>
        </w:rPr>
        <w:t>zatio</w:t>
      </w:r>
      <w:r>
        <w:rPr>
          <w:b w:val="0"/>
          <w:i w:val="0"/>
        </w:rPr>
        <w:t xml:space="preserve">extensions </w:t>
      </w:r>
      <w:r>
        <w:rPr>
          <w:b w:val="0"/>
          <w:i w:val="0"/>
        </w:rPr>
        <w:t xml:space="preserve">undertaken during the study will be collected and recorded in the CRF. Electrocardiograms </w:t>
      </w:r>
      <w:r>
        <w:rPr>
          <w:b w:val="0"/>
          <w:i w:val="0"/>
        </w:rPr>
        <w:t>ectro</w:t>
      </w:r>
      <w:r>
        <w:rPr>
          <w:b w:val="0"/>
          <w:i w:val="0"/>
        </w:rPr>
        <w:t>ectr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gggeeeee</w:t>
            </w:r>
          </w:p>
        </w:tc>
        <w:tc>
          <w:tcPr>
            <w:tcW w:type="dxa" w:w="4320"/>
          </w:tcPr>
          <w:p>
            <w:r>
              <w:t>a</w:t>
              <w:br/>
              <w:t>ooo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>any</w:t>
      </w:r>
      <w:r>
        <w:rPr>
          <w:b w:val="0"/>
          <w:i w:val="0"/>
        </w:rPr>
        <w:t xml:space="preserve">specific to this study will not be recorded on the medical procedures page of the CRF, but in </w:t>
      </w:r>
      <w:r>
        <w:rPr>
          <w:b w:val="0"/>
          <w:i w:val="0"/>
        </w:rPr>
        <w:t>age</w:t>
      </w:r>
      <w:r>
        <w:rPr>
          <w:b w:val="0"/>
          <w:i w:val="0"/>
        </w:rPr>
        <w:t>ge</w:t>
      </w:r>
      <w:r>
        <w:rPr>
          <w:b w:val="0"/>
          <w:i w:val="0"/>
        </w:rPr>
        <w:t xml:space="preserve">e of </w:t>
      </w:r>
      <w:r>
        <w:rPr>
          <w:b w:val="0"/>
          <w:i w:val="0"/>
        </w:rPr>
        <w:t>e of</w:t>
      </w:r>
      <w:r>
        <w:rPr>
          <w:b w:val="0"/>
          <w:i w:val="0"/>
        </w:rPr>
        <w:t>the modules specifically designed for this purpose. Medical procedures will be recorded at</w:t>
      </w:r>
      <w:r>
        <w:rPr>
          <w:b w:val="0"/>
          <w:i w:val="0"/>
        </w:rPr>
        <w:t>res w</w:t>
      </w:r>
      <w:r>
        <w:rPr>
          <w:b w:val="0"/>
          <w:i w:val="0"/>
        </w:rPr>
        <w:t>res w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the EV, FEV, MEV, YEV, Last Evaluation Period Visit, EDV, and FV during the entire </w:t>
      </w:r>
      <w:r>
        <w:rPr>
          <w:b w:val="0"/>
          <w:i w:val="0"/>
        </w:rPr>
        <w:t>nd FV</w:t>
      </w:r>
      <w:r>
        <w:rPr>
          <w:b w:val="0"/>
          <w:i w:val="0"/>
        </w:rPr>
        <w:t>nd F</w:t>
      </w:r>
      <w:r>
        <w:rPr>
          <w:b w:val="0"/>
          <w:i w:val="0"/>
        </w:rPr>
        <w:t xml:space="preserve">study, but only the first 2 years of recording will be included in the outcome evaluation. </w:t>
      </w:r>
      <w:r>
        <w:rPr>
          <w:b w:val="0"/>
          <w:i w:val="0"/>
        </w:rPr>
        <w:t>in the o</w:t>
      </w:r>
      <w:r>
        <w:rPr>
          <w:b w:val="0"/>
          <w:i w:val="0"/>
        </w:rPr>
        <w:t>in the</w:t>
      </w:r>
    </w:p>
    <w:p>
      <w:r>
        <w:rPr>
          <w:b/>
        </w:rPr>
        <w:t>9.1.4</w:t>
      </w:r>
    </w:p>
    <w:p>
      <w:r>
        <w:rPr>
          <w:b/>
        </w:rPr>
        <w:t>Healthcare provider consultations not foreseen by the protocol</w:t>
      </w:r>
    </w:p>
    <w:p>
      <w:r>
        <w:rPr>
          <w:b/>
        </w:rPr>
        <w:t>ons n</w:t>
      </w:r>
    </w:p>
    <w:p>
      <w:r>
        <w:rPr>
          <w:b/>
        </w:rPr>
        <w:t>ons</w:t>
      </w:r>
    </w:p>
    <w:p>
      <w:r>
        <w:rPr>
          <w:b/>
        </w:rPr>
        <w:t>not for</w:t>
      </w:r>
    </w:p>
    <w:p>
      <w:r>
        <w:rPr>
          <w:b/>
        </w:rPr>
        <w:t>ot fo</w:t>
      </w:r>
    </w:p>
    <w:p>
      <w:r>
        <w:rPr>
          <w:b w:val="0"/>
          <w:i w:val="0"/>
        </w:rPr>
        <w:t>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VVViiisss C</w:t>
            </w:r>
          </w:p>
        </w:tc>
        <w:tc>
          <w:tcPr>
            <w:tcW w:type="dxa" w:w="2880"/>
          </w:tcPr>
          <w:p>
            <w:r>
              <w:t>iiiittt,,,</w:t>
            </w:r>
          </w:p>
        </w:tc>
        <w:tc>
          <w:tcPr>
            <w:tcW w:type="dxa" w:w="2880"/>
          </w:tcPr>
          <w:p>
            <w:r>
              <w:t>n</w:t>
              <w:br/>
              <w:t>aaannn o</w:t>
            </w:r>
          </w:p>
        </w:tc>
      </w:tr>
    </w:tbl>
    <w:p>
      <w:r>
        <w:rPr>
          <w:b w:val="0"/>
          <w:i w:val="0"/>
        </w:rPr>
        <w:t xml:space="preserve">At the FEV, MEV, YEV, Last Evaluation Period Visit, and EDV, healthcare provider </w:t>
      </w:r>
      <w:r>
        <w:rPr>
          <w:b w:val="0"/>
          <w:i w:val="0"/>
        </w:rPr>
        <w:t>d Visi</w:t>
      </w:r>
      <w:r>
        <w:rPr>
          <w:b w:val="0"/>
          <w:i w:val="0"/>
        </w:rPr>
        <w:t>Visi</w:t>
      </w:r>
      <w:r>
        <w:rPr>
          <w:b w:val="0"/>
          <w:i w:val="0"/>
        </w:rPr>
        <w:t>it,t, and</w:t>
      </w:r>
      <w:r>
        <w:rPr>
          <w:b w:val="0"/>
          <w:i w:val="0"/>
        </w:rPr>
        <w:t>an</w:t>
      </w:r>
      <w:r>
        <w:rPr>
          <w:b w:val="0"/>
          <w:i w:val="0"/>
        </w:rPr>
        <w:t>d</w:t>
      </w:r>
      <w:r>
        <w:rPr>
          <w:b w:val="0"/>
          <w:i w:val="0"/>
        </w:rPr>
        <w:t>COPY</w:t>
      </w:r>
      <w:r>
        <w:rPr>
          <w:b w:val="0"/>
          <w:i w:val="0"/>
        </w:rPr>
        <w:t xml:space="preserve">consultations not foreseen by the protocol will be recorded in the CRF. It will include the </w:t>
      </w:r>
      <w:r>
        <w:rPr>
          <w:b w:val="0"/>
          <w:i w:val="0"/>
        </w:rPr>
        <w:t xml:space="preserve">ll be </w:t>
      </w:r>
      <w:r>
        <w:rPr>
          <w:b w:val="0"/>
          <w:i w:val="0"/>
        </w:rPr>
        <w:t>ll be</w:t>
      </w:r>
      <w:r>
        <w:rPr>
          <w:b w:val="0"/>
          <w:i w:val="0"/>
        </w:rPr>
        <w:t>record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type of provider (general practitioner, specialist physician, nurse), the site of care </w:t>
      </w:r>
      <w:r>
        <w:rPr>
          <w:b w:val="0"/>
          <w:i w:val="0"/>
        </w:rPr>
        <w:t>cialist</w:t>
      </w:r>
      <w:r>
        <w:rPr>
          <w:b w:val="0"/>
          <w:i w:val="0"/>
        </w:rPr>
        <w:t>ialist</w:t>
      </w:r>
      <w:r>
        <w:rPr>
          <w:b w:val="0"/>
          <w:i w:val="0"/>
        </w:rPr>
        <w:t>t phys</w:t>
      </w:r>
      <w:r>
        <w:rPr>
          <w:b w:val="0"/>
          <w:i w:val="0"/>
        </w:rPr>
        <w:t>phys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, eee</w:t>
            </w:r>
          </w:p>
        </w:tc>
        <w:tc>
          <w:tcPr>
            <w:tcW w:type="dxa" w:w="1440"/>
          </w:tcPr>
          <w:p>
            <w:r>
              <w:t>A</w:t>
              <w:br/>
              <w:t>mmmeeerrrgggg</w:t>
              <w:br/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ee</w:t>
            </w:r>
          </w:p>
        </w:tc>
        <w:tc>
          <w:tcPr>
            <w:tcW w:type="dxa" w:w="1440"/>
          </w:tcPr>
          <w:p>
            <w:r>
              <w:t>th</w:t>
              <w:br/>
              <w:t>nnncccyyyy u</w:t>
            </w:r>
          </w:p>
        </w:tc>
      </w:tr>
      <w:tr>
        <w:tc>
          <w:tcPr>
            <w:tcW w:type="dxa" w:w="1440"/>
          </w:tcPr>
          <w:p>
            <w:r>
              <w:t>ooobbbtttaaa 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iiiinnneeee 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  <w:br/>
              <w:t>ddddd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 w:val="0"/>
        </w:rPr>
        <w:t>(office-private, office-hospital, home, emergency room), and the reason leading to the</w:t>
      </w:r>
      <w:r>
        <w:rPr>
          <w:b w:val="0"/>
          <w:i w:val="0"/>
        </w:rPr>
        <w:t>emerg</w:t>
      </w:r>
      <w:r>
        <w:rPr>
          <w:b w:val="0"/>
          <w:i w:val="0"/>
        </w:rPr>
        <w:t>emerg</w:t>
      </w:r>
      <w:r>
        <w:rPr>
          <w:b w:val="0"/>
          <w:i w:val="0"/>
        </w:rPr>
        <w:t>gency</w:t>
      </w:r>
      <w:r>
        <w:rPr>
          <w:b w:val="0"/>
          <w:i w:val="0"/>
        </w:rPr>
        <w:t>ncy r</w:t>
      </w:r>
      <w:r>
        <w:rPr>
          <w:b w:val="0"/>
          <w:i w:val="0"/>
        </w:rPr>
        <w:t>y</w:t>
      </w:r>
      <w:r>
        <w:rPr>
          <w:b w:val="0"/>
          <w:i w:val="0"/>
        </w:rPr>
        <w:t>authorization</w:t>
      </w:r>
      <w:r>
        <w:rPr>
          <w:b w:val="0"/>
          <w:i w:val="0"/>
        </w:rPr>
        <w:t>consultation. At the EV, data will be obtained from the last visit of the previous study,</w:t>
      </w:r>
      <w:r>
        <w:rPr>
          <w:b w:val="0"/>
          <w:i w:val="0"/>
        </w:rPr>
        <w:t>e obtai</w:t>
      </w:r>
      <w:r>
        <w:rPr>
          <w:b w:val="0"/>
          <w:i w:val="0"/>
        </w:rPr>
        <w:t>e obtai</w:t>
      </w:r>
      <w:r>
        <w:rPr>
          <w:b w:val="0"/>
          <w:i w:val="0"/>
        </w:rPr>
        <w:t>ined</w:t>
      </w:r>
      <w:r>
        <w:rPr>
          <w:b w:val="0"/>
          <w:i w:val="0"/>
        </w:rPr>
        <w:t>ned</w:t>
      </w:r>
      <w:r>
        <w:rPr>
          <w:b w:val="0"/>
          <w:i w:val="0"/>
        </w:rPr>
        <w:t>ed f</w:t>
      </w:r>
      <w:r>
        <w:rPr>
          <w:b w:val="0"/>
          <w:i w:val="0"/>
        </w:rPr>
        <w:t>d f</w:t>
      </w:r>
      <w:r>
        <w:rPr>
          <w:b w:val="0"/>
          <w:i w:val="0"/>
        </w:rPr>
        <w:t>REDACTED</w:t>
      </w:r>
      <w:r>
        <w:rPr>
          <w:b w:val="0"/>
          <w:i w:val="0"/>
        </w:rPr>
        <w:t xml:space="preserve">N01358 or N01258, and do not need to be recorded on the CRF for this study. Healthcare </w:t>
      </w:r>
      <w:r>
        <w:rPr>
          <w:b w:val="0"/>
          <w:i w:val="0"/>
        </w:rPr>
        <w:t>toto</w:t>
      </w:r>
      <w:r>
        <w:rPr>
          <w:b w:val="0"/>
          <w:i w:val="0"/>
        </w:rPr>
        <w:t>be rec</w:t>
      </w:r>
      <w:r>
        <w:rPr>
          <w:b w:val="0"/>
          <w:i w:val="0"/>
        </w:rPr>
        <w:t>be rec</w:t>
      </w:r>
      <w:r>
        <w:rPr>
          <w:b w:val="0"/>
          <w:i w:val="0"/>
        </w:rPr>
        <w:t>provider consultations not foreseen by the protocol will be recorded for the first 2 years.</w:t>
      </w:r>
      <w:r>
        <w:rPr>
          <w:b w:val="0"/>
          <w:i w:val="0"/>
        </w:rPr>
        <w:t xml:space="preserve">by the </w:t>
      </w:r>
      <w:r>
        <w:rPr>
          <w:b w:val="0"/>
          <w:i w:val="0"/>
        </w:rPr>
        <w:t>by the</w:t>
      </w:r>
      <w:r>
        <w:rPr>
          <w:b w:val="0"/>
          <w:i w:val="0"/>
        </w:rPr>
        <w:t>marketing</w:t>
      </w:r>
    </w:p>
    <w:p>
      <w:r>
        <w:rPr>
          <w:b/>
        </w:rPr>
        <w:t>9.1.5</w:t>
      </w:r>
    </w:p>
    <w:p>
      <w:r>
        <w:rPr>
          <w:b/>
        </w:rPr>
        <w:t>Hospital stays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sss</w:t>
            </w:r>
          </w:p>
        </w:tc>
        <w:tc>
          <w:tcPr>
            <w:tcW w:type="dxa" w:w="4320"/>
          </w:tcPr>
          <w:p>
            <w:r>
              <w:t>a</w:t>
              <w:br/>
              <w:t>tttt EEE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 w:val="0"/>
        </w:rPr>
        <w:t xml:space="preserve">any </w:t>
      </w:r>
      <w:r>
        <w:rPr>
          <w:b w:val="0"/>
          <w:i w:val="0"/>
        </w:rPr>
        <w:t xml:space="preserve">At the FEV, MEV, YEV, Last Evaluation Period Visit, and EDV, data on hospital stays will </w:t>
      </w:r>
      <w:r>
        <w:rPr>
          <w:b w:val="0"/>
          <w:i w:val="0"/>
        </w:rPr>
        <w:t xml:space="preserve">ast </w:t>
      </w:r>
      <w:r>
        <w:rPr>
          <w:b w:val="0"/>
          <w:i w:val="0"/>
        </w:rPr>
        <w:t>ast</w:t>
      </w:r>
      <w:r>
        <w:rPr>
          <w:b w:val="0"/>
          <w:i w:val="0"/>
        </w:rPr>
        <w:t>t Eva</w:t>
      </w:r>
      <w:r>
        <w:rPr>
          <w:b w:val="0"/>
          <w:i w:val="0"/>
        </w:rPr>
        <w:t>Ev</w:t>
      </w:r>
      <w:r>
        <w:rPr>
          <w:b w:val="0"/>
          <w:i w:val="0"/>
        </w:rPr>
        <w:t xml:space="preserve">be collected in the CRF. It will include the reason leading to the hospitalization, the </w:t>
      </w:r>
      <w:r>
        <w:rPr>
          <w:b w:val="0"/>
          <w:i w:val="0"/>
        </w:rPr>
        <w:t>It will</w:t>
      </w:r>
      <w:r>
        <w:rPr>
          <w:b w:val="0"/>
          <w:i w:val="0"/>
        </w:rPr>
        <w:t>t wi</w:t>
      </w:r>
      <w:r>
        <w:rPr>
          <w:b w:val="0"/>
          <w:i w:val="0"/>
        </w:rPr>
        <w:t xml:space="preserve">admission ward, transfers, and length of stay. At the EV, data will be obtained from the last </w:t>
      </w:r>
      <w:r>
        <w:rPr>
          <w:b w:val="0"/>
          <w:i w:val="0"/>
        </w:rPr>
        <w:t>fers,</w:t>
      </w:r>
      <w:r>
        <w:rPr>
          <w:b w:val="0"/>
          <w:i w:val="0"/>
        </w:rPr>
        <w:t>fers,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sssttt o</w:t>
            </w:r>
          </w:p>
        </w:tc>
        <w:tc>
          <w:tcPr>
            <w:tcW w:type="dxa" w:w="4320"/>
          </w:tcPr>
          <w:p>
            <w:r>
              <w:t>uuuuu</w:t>
            </w:r>
          </w:p>
        </w:tc>
      </w:tr>
    </w:tbl>
    <w:p>
      <w:r>
        <w:rPr>
          <w:b w:val="0"/>
          <w:i w:val="0"/>
        </w:rPr>
        <w:t xml:space="preserve">support </w:t>
      </w:r>
      <w:r>
        <w:rPr>
          <w:b w:val="0"/>
          <w:i w:val="0"/>
        </w:rPr>
        <w:t>visit of the previous study, N01358 or N01258, and do not need to be recorded on the CRF</w:t>
      </w:r>
      <w:r>
        <w:rPr>
          <w:b w:val="0"/>
          <w:i w:val="0"/>
        </w:rPr>
        <w:t>s stu</w:t>
      </w:r>
      <w:r>
        <w:rPr>
          <w:b w:val="0"/>
          <w:i w:val="0"/>
        </w:rPr>
        <w:t>s stu</w:t>
      </w:r>
      <w:r>
        <w:rPr>
          <w:b w:val="0"/>
          <w:i w:val="0"/>
        </w:rPr>
        <w:t>udy</w:t>
      </w:r>
      <w:r>
        <w:rPr>
          <w:b w:val="0"/>
          <w:i w:val="0"/>
        </w:rPr>
        <w:t>ud</w:t>
      </w:r>
      <w:r>
        <w:rPr>
          <w:b w:val="0"/>
          <w:i w:val="0"/>
        </w:rPr>
        <w:t>to</w:t>
      </w:r>
      <w:r>
        <w:rPr>
          <w:b w:val="0"/>
          <w:i w:val="0"/>
        </w:rPr>
        <w:t>for this study. Hospital stays will be recorded for the first 2 years.</w:t>
      </w:r>
      <w:r>
        <w:rPr>
          <w:b w:val="0"/>
          <w:i w:val="0"/>
        </w:rPr>
        <w:t>Hospi</w:t>
      </w:r>
      <w:r>
        <w:rPr>
          <w:b w:val="0"/>
          <w:i w:val="0"/>
        </w:rPr>
        <w:t>ospi</w:t>
      </w:r>
      <w:r>
        <w:rPr>
          <w:b w:val="0"/>
          <w:i w:val="0"/>
        </w:rPr>
        <w:t>t</w:t>
      </w:r>
    </w:p>
    <w:p>
      <w:r>
        <w:rPr>
          <w:b/>
        </w:rPr>
        <w:t>ASSESSMENT OF SAFETY</w:t>
      </w:r>
    </w:p>
    <w:p>
      <w:r>
        <w:rPr>
          <w:b/>
        </w:rPr>
        <w:t>A</w:t>
      </w:r>
    </w:p>
    <w:p>
      <w:r>
        <w:rPr>
          <w:b w:val="0"/>
          <w:i w:val="0"/>
        </w:rPr>
        <w:t>be used</w:t>
      </w:r>
    </w:p>
    <w:p>
      <w:r>
        <w:rPr>
          <w:b/>
        </w:rPr>
        <w:t>10.1</w:t>
      </w:r>
    </w:p>
    <w:p>
      <w:r>
        <w:rPr>
          <w:b/>
        </w:rPr>
        <w:t>Adverse events</w:t>
      </w:r>
    </w:p>
    <w:p>
      <w:r>
        <w:rPr>
          <w:b/>
        </w:rPr>
        <w:t>10.1.1</w:t>
      </w:r>
    </w:p>
    <w:p>
      <w:r>
        <w:rPr>
          <w:b/>
        </w:rPr>
        <w:t>Definition of adverse event</w:t>
      </w:r>
    </w:p>
    <w:p>
      <w:r>
        <w:rPr>
          <w:b/>
        </w:rPr>
        <w:t>1.1</w:t>
      </w:r>
    </w:p>
    <w:p>
      <w:r>
        <w:rPr>
          <w:b/>
        </w:rPr>
        <w:t>1.1</w:t>
      </w:r>
    </w:p>
    <w:p>
      <w:r>
        <w:rPr>
          <w:b w:val="0"/>
          <w:i w:val="0"/>
        </w:rPr>
        <w:t xml:space="preserve">cannot </w:t>
      </w:r>
      <w:r>
        <w:rPr>
          <w:b w:val="0"/>
          <w:i w:val="0"/>
        </w:rPr>
        <w:t xml:space="preserve">An AE is any untoward medical occurrence in a patient or clinical investigation subject </w:t>
      </w:r>
      <w:r>
        <w:rPr>
          <w:b w:val="0"/>
          <w:i w:val="0"/>
        </w:rPr>
        <w:t>An A</w:t>
      </w:r>
      <w:r>
        <w:rPr>
          <w:b w:val="0"/>
          <w:i w:val="0"/>
        </w:rPr>
        <w:t>An A</w:t>
      </w:r>
      <w:r>
        <w:rPr>
          <w:b w:val="0"/>
          <w:i w:val="0"/>
        </w:rPr>
        <w:t xml:space="preserve">administered a pharmaceutical product which does not necessarily have a causal relationship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with this treatment. An AE can therefore be any unfavorable and unintended sign (including </w:t>
      </w:r>
      <w:r>
        <w:rPr>
          <w:b w:val="0"/>
          <w:i w:val="0"/>
        </w:rPr>
        <w:t xml:space="preserve">an abnormal laboratory finding), symptom, or disease temporally associated with the use of a </w:t>
      </w:r>
      <w:r>
        <w:rPr>
          <w:b w:val="0"/>
          <w:i w:val="0"/>
        </w:rPr>
        <w:t xml:space="preserve">medicinal (investigational) product, whether or not related to the medicinal (investigational) </w:t>
      </w:r>
      <w:r>
        <w:rPr>
          <w:b w:val="0"/>
          <w:i w:val="0"/>
        </w:rPr>
        <w:t xml:space="preserve">This document </w:t>
      </w:r>
      <w:r>
        <w:rPr>
          <w:b w:val="0"/>
          <w:i w:val="0"/>
        </w:rPr>
        <w:t>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