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Synopsis</w:t>
      </w:r>
    </w:p>
    <w:p>
      <w:r>
        <w:rPr>
          <w:b/>
        </w:rPr>
        <w:t>Title of Study:</w:t>
      </w:r>
    </w:p>
    <w:p>
      <w:r>
        <w:rPr>
          <w:b w:val="0"/>
          <w:i w:val="0"/>
        </w:rPr>
        <w:t xml:space="preserve">A Phase 3 Study of Tirzepatide Monotherapy Compared to Dulaglutide 0.75 mg in Patients with </w:t>
      </w:r>
      <w:r>
        <w:rPr>
          <w:b w:val="0"/>
          <w:i w:val="0"/>
        </w:rPr>
        <w:t>Type 2 Diabetes Mellitus (SURPASS J-mono).</w:t>
      </w:r>
    </w:p>
    <w:p>
      <w:r>
        <w:rPr>
          <w:b/>
        </w:rPr>
        <w:t>Rationale:</w:t>
      </w:r>
    </w:p>
    <w:p>
      <w:r>
        <w:rPr>
          <w:b w:val="0"/>
          <w:i w:val="0"/>
        </w:rPr>
        <w:t xml:space="preserve">Tirzepatide is a once-weekly (QW) dual glucose-dependent insulinotropic polypeptide </w:t>
      </w:r>
      <w:r>
        <w:rPr>
          <w:b w:val="0"/>
          <w:i w:val="0"/>
        </w:rPr>
        <w:t xml:space="preserve">(GIP)/glucagon like peptide-1 (GLP-1) receptor agonist.  Tirzepatide is a 39-amino acid </w:t>
      </w:r>
      <w:r>
        <w:rPr>
          <w:b w:val="0"/>
          <w:i w:val="0"/>
        </w:rPr>
        <w:t xml:space="preserve">synthetic peptide with agonist activity at both the GIP and GLP-1 receptors.  The structure of </w:t>
      </w:r>
      <w:r>
        <w:rPr>
          <w:b w:val="0"/>
          <w:i w:val="0"/>
        </w:rPr>
        <w:t xml:space="preserve">tirzepatide is based on the GIP sequence and includes a C20 fatty di-acid moiety </w:t>
      </w:r>
      <w:r>
        <w:rPr>
          <w:b w:val="0"/>
          <w:i w:val="0"/>
        </w:rPr>
        <w:t>CCI</w:t>
      </w:r>
      <w:r>
        <w:rPr>
          <w:b w:val="0"/>
          <w:i w:val="0"/>
        </w:rPr>
        <w:t>.  Tirzepatide is administered by subcutaneous (SC) administration.</w:t>
      </w:r>
      <w:r>
        <w:rPr>
          <w:b w:val="0"/>
          <w:i w:val="0"/>
        </w:rPr>
        <w:t>Study I8F-JE-GPGO (GPGO) is a multicenter, randomized, double-blind, parallel, active-</w:t>
      </w:r>
      <w:r>
        <w:rPr>
          <w:b w:val="0"/>
          <w:i w:val="0"/>
        </w:rPr>
        <w:t xml:space="preserve">controlled, 52-week Phase 3 study designed to assess the efficacy and safety of SC administered </w:t>
      </w:r>
      <w:r>
        <w:rPr>
          <w:b w:val="0"/>
          <w:i w:val="0"/>
        </w:rPr>
        <w:t xml:space="preserve">QW tirzepatide (5, 10, and 15 mg), compared to dulaglutide 0.75 mg in patients with type 2 </w:t>
      </w:r>
      <w:r>
        <w:rPr>
          <w:b w:val="0"/>
          <w:i w:val="0"/>
        </w:rPr>
        <w:t xml:space="preserve">diabetes mellitus (T2DM) who have discontinued oral antihyperglycemic medication (OAM) </w:t>
      </w:r>
      <w:r>
        <w:rPr>
          <w:b w:val="0"/>
          <w:i w:val="0"/>
        </w:rPr>
        <w:t xml:space="preserve">monotherapy or are OAM-naïve. The primary endpoint will be to demonstrate that QW </w:t>
      </w:r>
      <w:r>
        <w:rPr>
          <w:b w:val="0"/>
          <w:i w:val="0"/>
        </w:rPr>
        <w:t xml:space="preserve">tirzepatide 5 mg, and/or 10 mg, and/or 15 mg are superior to dulaglutide 0.75 mg in glycated </w:t>
      </w:r>
      <w:r>
        <w:rPr>
          <w:b w:val="0"/>
          <w:i w:val="0"/>
        </w:rPr>
        <w:t xml:space="preserve">hemoglobin (HbA1c) change from baseline to 52 weeks, based on Guideline for Clinical </w:t>
      </w:r>
      <w:r>
        <w:rPr>
          <w:b w:val="0"/>
          <w:i w:val="0"/>
        </w:rPr>
        <w:t xml:space="preserve">Evaluation of Oral Hypoglycemic Agents (Pharmaceutical and Food Safety Bureau/Evaluation </w:t>
      </w:r>
      <w:r>
        <w:rPr>
          <w:b w:val="0"/>
          <w:i w:val="0"/>
        </w:rPr>
        <w:t>and Licensing Division Notification No. 0709-1. 2012).</w:t>
      </w:r>
    </w:p>
    <w:p>
      <w:r>
        <w:rPr>
          <w:b/>
        </w:rPr>
        <w:t>Objectives/Endpoints: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t>Primary</w:t>
              <w:br/>
              <w:t> To demonstrate that once-weekly tirzepatide 5</w:t>
              <w:br/>
              <w:t>mg, and/or 10 mg, and/or 15 mg are superior to</w:t>
              <w:br/>
              <w:t>dulaglutide 0.75 mg in HbA1c change from</w:t>
              <w:br/>
              <w:t>baseline to 52 weeks in patients with T2DM who</w:t>
              <w:br/>
              <w:t>have discontinued OAM monotherapy or are</w:t>
              <w:br/>
              <w:t>OAM-naïve</w:t>
            </w:r>
          </w:p>
        </w:tc>
        <w:tc>
          <w:tcPr>
            <w:tcW w:type="dxa" w:w="4320"/>
          </w:tcPr>
          <w:p>
            <w:r>
              <w:t> Mean change in HbA1c from baseline at</w:t>
              <w:br/>
              <w:t>Week 52</w:t>
            </w:r>
          </w:p>
        </w:tc>
      </w:tr>
      <w:tr>
        <w:tc>
          <w:tcPr>
            <w:tcW w:type="dxa" w:w="4320"/>
          </w:tcPr>
          <w:p>
            <w:r>
              <w:t>Secondary</w:t>
              <w:br/>
              <w:t>Efficacy</w:t>
              <w:br/>
              <w:t> To compare the efficacy of once-weekly</w:t>
              <w:br/>
              <w:t>tirzepatide versus dulaglutide 0.75 mg at</w:t>
              <w:br/>
              <w:t>52 weeks</w:t>
            </w:r>
          </w:p>
        </w:tc>
        <w:tc>
          <w:tcPr>
            <w:tcW w:type="dxa" w:w="4320"/>
          </w:tcPr>
          <w:p>
            <w:r>
              <w:t> Mean change in HbA1c</w:t>
              <w:br/>
              <w:t> Proportion of patients who achieve HbA1c</w:t>
              <w:br/>
              <w:t>&lt;7%, ≤6.5%, and &lt;5.7%</w:t>
              <w:br/>
              <w:t> Mean change in FSG</w:t>
              <w:br/>
              <w:t> Mean change in daily average 7-point</w:t>
              <w:br/>
              <w:t>SMBG profiles</w:t>
              <w:br/>
              <w:t> Mean change in body weight</w:t>
              <w:br/>
              <w:t> Proportion of patients who achieve weight</w:t>
              <w:br/>
              <w:t>loss of ≥5%, ≥10%, and ≥15% from baseline</w:t>
              <w:br/>
              <w:t> Mean change in fasting insulin</w:t>
              <w:br/>
              <w:t> Mean change in fasting C-peptide</w:t>
              <w:br/>
              <w:t> Mean change in HOMA-2</w:t>
            </w:r>
          </w:p>
        </w:tc>
      </w:tr>
    </w:tbl>
    <w:p>
      <w:r>
        <w:rPr>
          <w:b/>
          <w:i w:val="0"/>
        </w:rPr>
        <w:t>Objectives</w:t>
      </w:r>
      <w:r>
        <w:rPr>
          <w:b/>
          <w:i w:val="0"/>
        </w:rPr>
        <w:t>Endpoints</w:t>
      </w:r>
      <w:r>
        <w:rPr>
          <w:b/>
          <w:i w:val="0"/>
        </w:rPr>
        <w:t>Primary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Mean change in HbA1c from baseline at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To demonstrate that once-weekly tirzepatide 5 </w:t>
      </w:r>
      <w:r>
        <w:rPr>
          <w:b w:val="0"/>
          <w:i w:val="0"/>
        </w:rPr>
        <w:t>Week 52</w:t>
      </w:r>
      <w:r>
        <w:rPr>
          <w:b w:val="0"/>
          <w:i w:val="0"/>
        </w:rPr>
        <w:t xml:space="preserve">mg, and/or 10 mg, and/or 15 mg are superior to </w:t>
      </w:r>
      <w:r>
        <w:rPr>
          <w:b w:val="0"/>
          <w:i w:val="0"/>
        </w:rPr>
        <w:t xml:space="preserve">dulaglutide 0.75 mg in HbA1c change from </w:t>
      </w:r>
      <w:r>
        <w:rPr>
          <w:b w:val="0"/>
          <w:i w:val="0"/>
        </w:rPr>
        <w:t xml:space="preserve">baseline to 52 weeks in patients with T2DM who </w:t>
      </w:r>
      <w:r>
        <w:rPr>
          <w:b w:val="0"/>
          <w:i w:val="0"/>
        </w:rPr>
        <w:t xml:space="preserve">have discontinued OAM monotherapy or are </w:t>
      </w:r>
      <w:r>
        <w:rPr>
          <w:b w:val="0"/>
          <w:i w:val="0"/>
        </w:rPr>
        <w:t>OAM-naïve</w:t>
      </w:r>
      <w:r>
        <w:rPr>
          <w:b/>
          <w:i w:val="0"/>
        </w:rPr>
        <w:t>Secondary</w:t>
      </w:r>
      <w:r>
        <w:rPr>
          <w:b/>
          <w:i w:val="0"/>
        </w:rPr>
        <w:t>Efficacy</w:t>
      </w:r>
      <w:r>
        <w:rPr>
          <w:b w:val="0"/>
          <w:i w:val="0"/>
        </w:rPr>
        <w:t></w:t>
      </w:r>
      <w:r>
        <w:rPr>
          <w:b w:val="0"/>
          <w:i w:val="0"/>
        </w:rPr>
        <w:t>To compare the efficacy of once-weekly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Mean change in HbA1c </w:t>
      </w:r>
      <w:r>
        <w:rPr>
          <w:b w:val="0"/>
          <w:i w:val="0"/>
        </w:rPr>
        <w:t>tirzepatide versus dulaglutide 0.75 mg at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Proportion of patients who achieve HbA1c </w:t>
      </w:r>
      <w:r>
        <w:rPr>
          <w:b w:val="0"/>
          <w:i w:val="0"/>
        </w:rPr>
        <w:t>52 weeks</w:t>
      </w:r>
      <w:r>
        <w:rPr>
          <w:b w:val="0"/>
          <w:i w:val="0"/>
        </w:rPr>
        <w:t>&lt;7%, ≤6.5%, and &lt;5.7%</w:t>
      </w:r>
      <w:r>
        <w:rPr>
          <w:b w:val="0"/>
          <w:i w:val="0"/>
        </w:rPr>
        <w:t></w:t>
      </w:r>
      <w:r>
        <w:rPr>
          <w:b w:val="0"/>
          <w:i w:val="0"/>
        </w:rPr>
        <w:t>Mean change in FSG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Mean change in daily average 7-point </w:t>
      </w:r>
      <w:r>
        <w:rPr>
          <w:b w:val="0"/>
          <w:i w:val="0"/>
        </w:rPr>
        <w:t>SMBG profiles</w:t>
      </w:r>
      <w:r>
        <w:rPr>
          <w:b w:val="0"/>
          <w:i w:val="0"/>
        </w:rPr>
        <w:t></w:t>
      </w:r>
      <w:r>
        <w:rPr>
          <w:b w:val="0"/>
          <w:i w:val="0"/>
        </w:rPr>
        <w:t>Mean change in body weight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Proportion of patients who achieve weight </w:t>
      </w:r>
      <w:r>
        <w:rPr>
          <w:b w:val="0"/>
          <w:i w:val="0"/>
        </w:rPr>
        <w:t>loss of ≥5%, ≥10%, and ≥15% from baseline</w:t>
      </w:r>
      <w:r>
        <w:rPr>
          <w:b w:val="0"/>
          <w:i w:val="0"/>
        </w:rPr>
        <w:t></w:t>
      </w:r>
      <w:r>
        <w:rPr>
          <w:b w:val="0"/>
          <w:i w:val="0"/>
        </w:rPr>
        <w:t>Mean change in fasting insulin</w:t>
      </w:r>
      <w:r>
        <w:rPr>
          <w:b w:val="0"/>
          <w:i w:val="0"/>
        </w:rPr>
        <w:t></w:t>
      </w:r>
      <w:r>
        <w:rPr>
          <w:b w:val="0"/>
          <w:i w:val="0"/>
        </w:rPr>
        <w:t>Mean change in fasting C-peptide</w:t>
      </w:r>
      <w:r>
        <w:rPr>
          <w:b w:val="0"/>
          <w:i w:val="0"/>
        </w:rPr>
        <w:t></w:t>
      </w:r>
      <w:r>
        <w:rPr>
          <w:b w:val="0"/>
          <w:i w:val="0"/>
        </w:rPr>
        <w:t>Mean change in HOMA-2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t>Safety</w:t>
              <w:br/>
              <w:t> To compare the safety of once-weekly</w:t>
              <w:br/>
              <w:t>tirzepatide versus dulaglutide 0.75 mg at</w:t>
              <w:br/>
              <w:t>52 weeks</w:t>
            </w:r>
          </w:p>
        </w:tc>
        <w:tc>
          <w:tcPr>
            <w:tcW w:type="dxa" w:w="4320"/>
          </w:tcPr>
          <w:p>
            <w:r>
              <w:t> Incidence of TEAEs</w:t>
              <w:br/>
              <w:t> Early discontinuations of investigational</w:t>
              <w:br/>
              <w:t>product due to AEs</w:t>
              <w:br/>
              <w:t> Adjudicated all deaths and nonfatal major</w:t>
              <w:br/>
              <w:t>CV events</w:t>
              <w:br/>
              <w:t> Adjudicated pancreatic AEs</w:t>
              <w:br/>
              <w:t> Serum calcitonin</w:t>
              <w:br/>
              <w:t> Incidence of allergic and hypersensitivity</w:t>
              <w:br/>
              <w:t>reactions</w:t>
              <w:br/>
              <w:t> Incidence of injection site reactions</w:t>
              <w:br/>
              <w:t> Incidence of treatment-emergent ADAs to</w:t>
              <w:br/>
              <w:t>tirzepatide</w:t>
              <w:br/>
              <w:t> The change in systolic and diastolic blood</w:t>
              <w:br/>
              <w:t>pressure, and heart rate from baseline</w:t>
              <w:br/>
              <w:t> Occurrence of hypoglycemic episodes</w:t>
              <w:br/>
              <w:t> Time to initiation of rescue therapy for</w:t>
              <w:br/>
              <w:t>severe persistent hyperglycemia</w:t>
            </w:r>
          </w:p>
        </w:tc>
      </w:tr>
    </w:tbl>
    <w:p>
      <w:r>
        <w:rPr>
          <w:b/>
          <w:i w:val="0"/>
        </w:rPr>
        <w:t>Objectives</w:t>
      </w:r>
      <w:r>
        <w:rPr>
          <w:b/>
          <w:i w:val="0"/>
        </w:rPr>
        <w:t>Endpoints</w:t>
      </w:r>
      <w:r>
        <w:rPr>
          <w:b/>
          <w:i w:val="0"/>
        </w:rPr>
        <w:t>Safety</w:t>
      </w:r>
      <w:r>
        <w:rPr>
          <w:b w:val="0"/>
          <w:i w:val="0"/>
        </w:rPr>
        <w:t></w:t>
      </w:r>
      <w:r>
        <w:rPr>
          <w:b w:val="0"/>
          <w:i w:val="0"/>
        </w:rPr>
        <w:t>To compare the safety of once-weekly</w:t>
      </w:r>
      <w:r>
        <w:rPr>
          <w:b w:val="0"/>
          <w:i w:val="0"/>
        </w:rPr>
        <w:t></w:t>
      </w:r>
      <w:r>
        <w:rPr>
          <w:b w:val="0"/>
          <w:i w:val="0"/>
        </w:rPr>
        <w:t>Incidence of TEAEs</w:t>
      </w:r>
      <w:r>
        <w:rPr>
          <w:b w:val="0"/>
          <w:i w:val="0"/>
        </w:rPr>
        <w:t>tirzepatide versus dulaglutide 0.75 mg at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Early discontinuations of investigational </w:t>
      </w:r>
      <w:r>
        <w:rPr>
          <w:b w:val="0"/>
          <w:i w:val="0"/>
        </w:rPr>
        <w:t>52 weeks</w:t>
      </w:r>
      <w:r>
        <w:rPr>
          <w:b w:val="0"/>
          <w:i w:val="0"/>
        </w:rPr>
        <w:t>product due to AEs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Adjudicated all deaths and nonfatal major </w:t>
      </w:r>
      <w:r>
        <w:rPr>
          <w:b w:val="0"/>
          <w:i w:val="0"/>
        </w:rPr>
        <w:t>CV events</w:t>
      </w:r>
      <w:r>
        <w:rPr>
          <w:b w:val="0"/>
          <w:i w:val="0"/>
        </w:rPr>
        <w:t></w:t>
      </w:r>
      <w:r>
        <w:rPr>
          <w:b w:val="0"/>
          <w:i w:val="0"/>
        </w:rPr>
        <w:t>Adjudicated pancreatic AEs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Serum calcitonin 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Incidence of allergic and hypersensitivity </w:t>
      </w:r>
      <w:r>
        <w:rPr>
          <w:b w:val="0"/>
          <w:i w:val="0"/>
        </w:rPr>
        <w:t xml:space="preserve">reactions </w:t>
      </w:r>
      <w:r>
        <w:rPr>
          <w:b w:val="0"/>
          <w:i w:val="0"/>
        </w:rPr>
        <w:t></w:t>
      </w:r>
      <w:r>
        <w:rPr>
          <w:b w:val="0"/>
          <w:i w:val="0"/>
        </w:rPr>
        <w:t>Incidence of injection site reactions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Incidence of treatment-emergent ADAs to </w:t>
      </w:r>
      <w:r>
        <w:rPr>
          <w:b w:val="0"/>
          <w:i w:val="0"/>
        </w:rPr>
        <w:t>tirzepatide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The change in systolic and diastolic blood </w:t>
      </w:r>
      <w:r>
        <w:rPr>
          <w:b w:val="0"/>
          <w:i w:val="0"/>
        </w:rPr>
        <w:t xml:space="preserve">pressure, and heart rate from baseline </w:t>
      </w:r>
      <w:r>
        <w:rPr>
          <w:b w:val="0"/>
          <w:i w:val="0"/>
        </w:rPr>
        <w:t></w:t>
      </w:r>
      <w:r>
        <w:rPr>
          <w:b w:val="0"/>
          <w:i w:val="0"/>
        </w:rPr>
        <w:t>Occurrence of hypoglycemic episodes</w:t>
      </w:r>
      <w:r>
        <w:rPr>
          <w:b w:val="0"/>
          <w:i w:val="0"/>
        </w:rPr>
        <w:t></w:t>
      </w:r>
      <w:r>
        <w:rPr>
          <w:b w:val="0"/>
          <w:i w:val="0"/>
        </w:rPr>
        <w:t xml:space="preserve">Time to initiation of rescue therapy for </w:t>
      </w:r>
      <w:r>
        <w:rPr>
          <w:b w:val="0"/>
          <w:i w:val="0"/>
        </w:rPr>
        <w:t>severe persistent hyperglycemia</w:t>
      </w:r>
      <w:r>
        <w:rPr>
          <w:b w:val="0"/>
          <w:i w:val="0"/>
        </w:rPr>
        <w:t xml:space="preserve">Abbreviations:  ADAs = anti-drug antibodies; AE = adverse event; CV = cardiovascular; FSG = fasting serum </w:t>
      </w:r>
      <w:r>
        <w:rPr>
          <w:b w:val="0"/>
          <w:i w:val="0"/>
        </w:rPr>
        <w:t xml:space="preserve">glucose; HbA1c = hemoglobin A1c; OAM  = oral antihyperglycemic medication; SAE = serious adverse event; </w:t>
      </w:r>
      <w:r>
        <w:rPr>
          <w:b w:val="0"/>
          <w:i w:val="0"/>
        </w:rPr>
        <w:t xml:space="preserve">SMBG = self-monitored blood glucose; T2DM = type 2 diabetes mellitus; TEAE = treatment-emergent adverse </w:t>
      </w:r>
      <w:r>
        <w:rPr>
          <w:b w:val="0"/>
          <w:i w:val="0"/>
        </w:rPr>
        <w:t>event.</w:t>
      </w:r>
    </w:p>
    <w:p>
      <w:r>
        <w:rPr>
          <w:b/>
        </w:rPr>
        <w:t>Summary of Study Design:</w:t>
      </w:r>
    </w:p>
    <w:p>
      <w:r>
        <w:rPr>
          <w:b w:val="0"/>
          <w:i w:val="0"/>
        </w:rPr>
        <w:t xml:space="preserve">Study GPGO is a multicenter, randomized, double-blind, parallel, active-controlled, 52-week </w:t>
      </w:r>
      <w:r>
        <w:rPr>
          <w:b w:val="0"/>
          <w:i w:val="0"/>
        </w:rPr>
        <w:t>Phase 3 study which will assess the safety and efficacy of tirzepatide (5, 10, and 15 mg)</w:t>
      </w:r>
      <w:r>
        <w:rPr>
          <w:b w:val="0"/>
          <w:i w:val="0"/>
        </w:rPr>
        <w:t xml:space="preserve">compared to dulaglutide 0.75 mg in approximately 636 randomized patients with T2DM who </w:t>
      </w:r>
      <w:r>
        <w:rPr>
          <w:b w:val="0"/>
          <w:i w:val="0"/>
        </w:rPr>
        <w:t>have discontinued OAM monotherapy or are OAM-naïve.</w:t>
      </w:r>
    </w:p>
    <w:p>
      <w:r>
        <w:rPr>
          <w:b/>
        </w:rPr>
        <w:t>Treatment Arms and Duration:</w:t>
      </w:r>
    </w:p>
    <w:p>
      <w:r>
        <w:rPr>
          <w:b w:val="0"/>
          <w:i w:val="0"/>
        </w:rPr>
        <w:t xml:space="preserve">Study GPGO will consist of 3 periods:  a 4-week (OAM-naïve) or 10-week (at least 8-week </w:t>
      </w:r>
      <w:r>
        <w:rPr>
          <w:b w:val="0"/>
          <w:i w:val="0"/>
        </w:rPr>
        <w:t xml:space="preserve">OAM washout) screening/lead-in period, followed by a 52-week treatment period, and a 4-week </w:t>
      </w:r>
      <w:r>
        <w:rPr>
          <w:b w:val="0"/>
          <w:i w:val="0"/>
        </w:rPr>
        <w:t xml:space="preserve">safety follow-up period.  Patients will be randomized in a 1:1:1:1 ratio (tirzepatide [5, 10, 15 </w:t>
      </w:r>
      <w:r>
        <w:rPr>
          <w:b w:val="0"/>
          <w:i w:val="0"/>
        </w:rPr>
        <w:t xml:space="preserve">mg], and dulaglutide 0.75 mg).  </w:t>
      </w:r>
    </w:p>
    <w:p>
      <w:r>
        <w:rPr>
          <w:b w:val="0"/>
          <w:i w:val="0"/>
        </w:rPr>
        <w:t xml:space="preserve">Patients will be stratified based on baseline HbA1c (≤8.5% or &gt;8.5%), baseline body mass index </w:t>
      </w:r>
      <w:r>
        <w:rPr>
          <w:b w:val="0"/>
          <w:i w:val="0"/>
        </w:rPr>
        <w:t>(BMI) (&lt;25 or ≥25 kg/m</w:t>
      </w:r>
      <w:r>
        <w:rPr>
          <w:b w:val="0"/>
          <w:i w:val="0"/>
        </w:rPr>
        <w:t>2</w:t>
      </w:r>
      <w:r>
        <w:rPr>
          <w:b w:val="0"/>
          <w:i w:val="0"/>
        </w:rPr>
        <w:t>), and washout of antidiabetic medication (yes or no).</w:t>
      </w:r>
    </w:p>
    <w:p>
      <w:r>
        <w:rPr>
          <w:b/>
        </w:rPr>
        <w:t>Number of Patients:</w:t>
      </w:r>
    </w:p>
    <w:p>
      <w:r>
        <w:rPr>
          <w:b w:val="0"/>
          <w:i w:val="0"/>
        </w:rPr>
        <w:t xml:space="preserve">A total of approximately 636 patients (159 patients per treatment group) will be randomized. 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/>
        </w:rPr>
        <w:t>Statistical Analysis:</w:t>
      </w:r>
    </w:p>
    <w:p>
      <w:r>
        <w:rPr>
          <w:b/>
        </w:rPr>
        <w:t>Sample size</w:t>
      </w:r>
    </w:p>
    <w:p>
      <w:r>
        <w:rPr>
          <w:b w:val="0"/>
          <w:i w:val="0"/>
        </w:rPr>
        <w:t xml:space="preserve">The trial is powered to assess superiority of tirzepatide doses (5 mg, and/or 10 mg, and/or 15 </w:t>
      </w:r>
      <w:r>
        <w:rPr>
          <w:b w:val="0"/>
          <w:i w:val="0"/>
        </w:rPr>
        <w:t>mg), versus dulaglutide 0.75 mg, relative to mean change from baseline in HbA1c at 52 weeks,</w:t>
      </w:r>
      <w:r>
        <w:rPr>
          <w:b w:val="0"/>
          <w:i w:val="0"/>
        </w:rPr>
        <w:t xml:space="preserve">under the following assumptions: use of 2-sample t-test to compare treatment means utilizing </w:t>
      </w:r>
      <w:r>
        <w:rPr>
          <w:b w:val="0"/>
          <w:i w:val="0"/>
        </w:rPr>
        <w:t xml:space="preserve">HbA1c data collected before initiation of any rescue medication and premature treatment </w:t>
      </w:r>
      <w:r>
        <w:rPr>
          <w:b w:val="0"/>
          <w:i w:val="0"/>
        </w:rPr>
        <w:t xml:space="preserve">discontinuation; up to 15% subjects initiating any rescue medication or premature treatment </w:t>
      </w:r>
      <w:r>
        <w:rPr>
          <w:b w:val="0"/>
          <w:i w:val="0"/>
        </w:rPr>
        <w:t xml:space="preserve">discontinuation; at least 0.5%, 0.5%, and 0.4% superior mean reduction in HbA1c from baseline </w:t>
      </w:r>
      <w:r>
        <w:rPr>
          <w:b w:val="0"/>
          <w:i w:val="0"/>
        </w:rPr>
        <w:t xml:space="preserve">at 52 weeks for tirzepatide 15, 10, and 5 mg, respectively, compared to dulaglutide 0.75 mg; and </w:t>
      </w:r>
      <w:r>
        <w:rPr>
          <w:b w:val="0"/>
          <w:i w:val="0"/>
        </w:rPr>
        <w:t xml:space="preserve">a common standard deviation (SD) of 1.0%.  On the basis of these assumptions, randomizing 636 </w:t>
      </w:r>
      <w:r>
        <w:rPr>
          <w:b w:val="0"/>
          <w:i w:val="0"/>
        </w:rPr>
        <w:t xml:space="preserve">subjects using a 1:1:1:1 randomization ratio to tirzepatide 5 mg (159 patients), tirzepatide 10 mg </w:t>
      </w:r>
      <w:r>
        <w:rPr>
          <w:b w:val="0"/>
          <w:i w:val="0"/>
        </w:rPr>
        <w:t xml:space="preserve">(159 patients), tirzepatide 15 mg (159 patients), and dulaglutide 0.75 mg (159 patients) is </w:t>
      </w:r>
      <w:r>
        <w:rPr>
          <w:b w:val="0"/>
          <w:i w:val="0"/>
        </w:rPr>
        <w:t xml:space="preserve">required to ensure at least 90% power to establish superiority of tirzepatide 10-mg and/or 15-mg </w:t>
      </w:r>
      <w:r>
        <w:rPr>
          <w:b w:val="0"/>
          <w:i w:val="0"/>
        </w:rPr>
        <w:t xml:space="preserve">doses, compared to dulaglutide 0.75 mg at a 2-sided significance level of 0.025, followed by </w:t>
      </w:r>
      <w:r>
        <w:rPr>
          <w:b w:val="0"/>
          <w:i w:val="0"/>
        </w:rPr>
        <w:t>superiority of tirzepatide 5 mg, compared to dulaglutide 0.75 mg only if superiority of tirzepatide</w:t>
      </w:r>
      <w:r>
        <w:rPr>
          <w:b w:val="0"/>
          <w:i w:val="0"/>
        </w:rPr>
        <w:t xml:space="preserve">10 mg or 15 mg is declared.  Tirzepatide 5 mg will be tested at a 2-sided significance level of </w:t>
      </w:r>
      <w:r>
        <w:rPr>
          <w:b w:val="0"/>
          <w:i w:val="0"/>
        </w:rPr>
        <w:t xml:space="preserve">0.05 if superiorities of both 10 mg and 15 mg are declared.  Tirzepatide 5 mg will be tested at a </w:t>
      </w:r>
      <w:r>
        <w:rPr>
          <w:b w:val="0"/>
          <w:i w:val="0"/>
        </w:rPr>
        <w:t xml:space="preserve">2-sided significance level of 0.025 if superiority of either 10 mg or 15 mg is declared.  This </w:t>
      </w:r>
      <w:r>
        <w:rPr>
          <w:b w:val="0"/>
          <w:i w:val="0"/>
        </w:rPr>
        <w:t xml:space="preserve">parallel gatekeeping procedure controls family-wise Type 1 error rate at a 2-sided 0.05 level </w:t>
      </w:r>
      <w:r>
        <w:rPr>
          <w:b w:val="0"/>
          <w:i w:val="0"/>
        </w:rPr>
        <w:t xml:space="preserve">(Dmitrienko et al. 2003).  </w:t>
      </w:r>
    </w:p>
    <w:p>
      <w:r>
        <w:rPr>
          <w:b/>
        </w:rPr>
        <w:t>Efficacy Analyses</w:t>
      </w:r>
    </w:p>
    <w:p>
      <w:r>
        <w:rPr>
          <w:b w:val="0"/>
          <w:i w:val="0"/>
        </w:rPr>
        <w:t xml:space="preserve">Efficacy and safety will be assessed using the modified intention-to-treat (mITT) population, </w:t>
      </w:r>
      <w:r>
        <w:rPr>
          <w:b w:val="0"/>
          <w:i w:val="0"/>
        </w:rPr>
        <w:t xml:space="preserve">which consists of all randomly assigned participants who are exposed to at least 1 dose of </w:t>
      </w:r>
      <w:r>
        <w:rPr>
          <w:b w:val="0"/>
          <w:i w:val="0"/>
        </w:rPr>
        <w:t xml:space="preserve">investigational product. The primary efficacy of tirzepatide versus dulaglutide 0.75 at 52 weeks </w:t>
      </w:r>
      <w:r>
        <w:rPr>
          <w:b w:val="0"/>
          <w:i w:val="0"/>
        </w:rPr>
        <w:t xml:space="preserve">will be guided by the “efficacy” estimand. The “efficacy” estimand represents efficacy prior to </w:t>
      </w:r>
      <w:r>
        <w:rPr>
          <w:b w:val="0"/>
          <w:i w:val="0"/>
        </w:rPr>
        <w:t xml:space="preserve">discontinuation of investigational product without confounding effects of rescue therapy for </w:t>
      </w:r>
      <w:r>
        <w:rPr>
          <w:b w:val="0"/>
          <w:i w:val="0"/>
        </w:rPr>
        <w:t xml:space="preserve">persistent severe hyperglycemia.  </w:t>
      </w:r>
    </w:p>
    <w:p>
      <w:r>
        <w:rPr>
          <w:b w:val="0"/>
          <w:i w:val="0"/>
        </w:rPr>
        <w:t xml:space="preserve">The primary efficacy assessment, guided by the “efficacy” estimand, will use the Efficacy </w:t>
      </w:r>
      <w:r>
        <w:rPr>
          <w:b w:val="0"/>
          <w:i w:val="0"/>
        </w:rPr>
        <w:t xml:space="preserve">Analysis Set (EAS), which consists of data obtained before the initiation of any rescue therapy </w:t>
      </w:r>
      <w:r>
        <w:rPr>
          <w:b w:val="0"/>
          <w:i w:val="0"/>
        </w:rPr>
        <w:t xml:space="preserve">and before premature treatment discontinuation. The analysis model for change from baseline in </w:t>
      </w:r>
      <w:r>
        <w:rPr>
          <w:b w:val="0"/>
          <w:i w:val="0"/>
        </w:rPr>
        <w:t xml:space="preserve">HbA1c assessed over time up to the 52-week visit, will be a mixed-model for repeated measures </w:t>
      </w:r>
      <w:r>
        <w:rPr>
          <w:b w:val="0"/>
          <w:i w:val="0"/>
        </w:rPr>
        <w:t xml:space="preserve">(MMRM), with terms: treatment, visit, and treatment-by-visit interaction, stratification factors: </w:t>
      </w:r>
      <w:r>
        <w:rPr>
          <w:b w:val="0"/>
          <w:i w:val="0"/>
        </w:rPr>
        <w:t>baseline BMI group (&lt;25 or ≥25 kg/m</w:t>
      </w:r>
      <w:r>
        <w:rPr>
          <w:b w:val="0"/>
          <w:i w:val="0"/>
        </w:rPr>
        <w:t>2</w:t>
      </w:r>
      <w:r>
        <w:rPr>
          <w:b w:val="0"/>
          <w:i w:val="0"/>
        </w:rPr>
        <w:t>) and washout of antidiabetic medication (yes or no) as</w:t>
      </w:r>
      <w:r>
        <w:rPr>
          <w:b w:val="0"/>
          <w:i w:val="0"/>
        </w:rPr>
        <w:t xml:space="preserve">fixed effects, baseline HbA1c as a covariate.  An unstructured covariance structure will model </w:t>
      </w:r>
      <w:r>
        <w:rPr>
          <w:b w:val="0"/>
          <w:i w:val="0"/>
        </w:rPr>
        <w:t xml:space="preserve">relationship of within-patient errors.  </w:t>
      </w:r>
    </w:p>
    <w:p>
      <w:r>
        <w:rPr>
          <w:b w:val="0"/>
          <w:i w:val="0"/>
        </w:rPr>
        <w:t xml:space="preserve">A robustness of the primary efficacy assessment, guided by the “treatment-regimen” estimand, </w:t>
      </w:r>
      <w:r>
        <w:rPr>
          <w:b w:val="0"/>
          <w:i w:val="0"/>
        </w:rPr>
        <w:t xml:space="preserve">will be conducted.  This assessment will analyze change from baseline in HbA1c to 52-week </w:t>
      </w:r>
      <w:r>
        <w:rPr>
          <w:b w:val="0"/>
          <w:i w:val="0"/>
        </w:rPr>
        <w:t xml:space="preserve">visit using an analysis of covariance (ANCOVA) with terms, treatment, baseline BMI group </w:t>
      </w:r>
      <w:r>
        <w:rPr>
          <w:b w:val="0"/>
          <w:i w:val="0"/>
        </w:rPr>
        <w:t>(&lt;25 or ≥25 kg/m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), washout of antidiabetic medication (yes or no), and baseline HbA1c as a </w:t>
      </w:r>
      <w:r>
        <w:rPr>
          <w:b w:val="0"/>
          <w:i w:val="0"/>
        </w:rPr>
        <w:t>covariate.  The ANCOVA analysis will be conducted using the Full Analysis Set (FAS) at the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 w:val="0"/>
          <w:i w:val="0"/>
        </w:rPr>
        <w:t xml:space="preserve">52-week visit, which consists of all available change from baseline in HbA1c data at the 52-week </w:t>
      </w:r>
      <w:r>
        <w:rPr>
          <w:b w:val="0"/>
          <w:i w:val="0"/>
        </w:rPr>
        <w:t xml:space="preserve">visit, irrespective of whether they were obtained while the participants had discontinued the </w:t>
      </w:r>
      <w:r>
        <w:rPr>
          <w:b w:val="0"/>
          <w:i w:val="0"/>
        </w:rPr>
        <w:t xml:space="preserve">investigational product or whether the participant had been given rescue medication.  </w:t>
      </w:r>
      <w:r>
        <w:rPr>
          <w:b w:val="0"/>
          <w:i w:val="0"/>
        </w:rPr>
        <w:t xml:space="preserve">Additionally, data for subjects with missing values will be imputed based on observed data in the </w:t>
      </w:r>
      <w:r>
        <w:rPr>
          <w:b w:val="0"/>
          <w:i w:val="0"/>
        </w:rPr>
        <w:t xml:space="preserve">same treatment arm from subjects who had their efficacy measure at the Week 52 visit assessed </w:t>
      </w:r>
      <w:r>
        <w:rPr>
          <w:b w:val="0"/>
          <w:i w:val="0"/>
        </w:rPr>
        <w:t xml:space="preserve">after early discontinuation of investigational product and/or initiation of rescue medication </w:t>
      </w:r>
      <w:r>
        <w:rPr>
          <w:b w:val="0"/>
          <w:i w:val="0"/>
        </w:rPr>
        <w:t xml:space="preserve">(retrieved drop outs).  Analysis will be conducted with multiple imputations and statistical </w:t>
      </w:r>
      <w:r>
        <w:rPr>
          <w:b w:val="0"/>
          <w:i w:val="0"/>
        </w:rPr>
        <w:t xml:space="preserve">inference over multiple imputations will be guided by the method proposed by (Rubin 1987).  No </w:t>
      </w:r>
      <w:r>
        <w:rPr>
          <w:b w:val="0"/>
          <w:i w:val="0"/>
        </w:rPr>
        <w:t xml:space="preserve">multiplicity adjustments will be made for conducting 2 efficacy assessments for different </w:t>
      </w:r>
      <w:r>
        <w:rPr>
          <w:b w:val="0"/>
          <w:i w:val="0"/>
        </w:rPr>
        <w:t>estimands.</w:t>
      </w:r>
    </w:p>
    <w:p>
      <w:r>
        <w:rPr>
          <w:b/>
        </w:rPr>
        <w:t>Safety Analysis</w:t>
      </w:r>
    </w:p>
    <w:p>
      <w:r>
        <w:rPr>
          <w:b w:val="0"/>
          <w:i w:val="0"/>
        </w:rPr>
        <w:t xml:space="preserve">Safety assessments will be based on all available data, irrespective of whether they were </w:t>
      </w:r>
      <w:r>
        <w:rPr>
          <w:b w:val="0"/>
          <w:i w:val="0"/>
        </w:rPr>
        <w:t xml:space="preserve">obtained while the participants had discontinued the investigational product or whether the </w:t>
      </w:r>
      <w:r>
        <w:rPr>
          <w:b w:val="0"/>
          <w:i w:val="0"/>
        </w:rPr>
        <w:t xml:space="preserve">participant had been given rescue medication.  Summary statistics will be provided for incidence </w:t>
      </w:r>
      <w:r>
        <w:rPr>
          <w:b w:val="0"/>
          <w:i w:val="0"/>
        </w:rPr>
        <w:t xml:space="preserve">of treatment-emergent adverse events (TEAEs), serious adverse events (SAEs), study </w:t>
      </w:r>
      <w:r>
        <w:rPr>
          <w:b w:val="0"/>
          <w:i w:val="0"/>
        </w:rPr>
        <w:t xml:space="preserve">discontinuation due to adverse events (AEs), investigational product discontinuation due to AEs </w:t>
      </w:r>
      <w:r>
        <w:rPr>
          <w:b w:val="0"/>
          <w:i w:val="0"/>
        </w:rPr>
        <w:t xml:space="preserve">and deaths from first dose to end of safety follow-up.  Counts and proportions of subjects </w:t>
      </w:r>
      <w:r>
        <w:rPr>
          <w:b w:val="0"/>
          <w:i w:val="0"/>
        </w:rPr>
        <w:t xml:space="preserve">experiencing AEs will be reported for each treatment group, and Fisher’s exact test will be used </w:t>
      </w:r>
      <w:r>
        <w:rPr>
          <w:b w:val="0"/>
          <w:i w:val="0"/>
        </w:rPr>
        <w:t xml:space="preserve">to compare the treatment groups.  For continuous laboratory analytes, summary statistics will be </w:t>
      </w:r>
      <w:r>
        <w:rPr>
          <w:b w:val="0"/>
          <w:i w:val="0"/>
        </w:rPr>
        <w:t xml:space="preserve">provided by visit, with statistical comparisons among treatment at each visit conducted using a </w:t>
      </w:r>
      <w:r>
        <w:rPr>
          <w:b w:val="0"/>
          <w:i w:val="0"/>
        </w:rPr>
        <w:t xml:space="preserve">MMRM analysis.  Selected safety analysis (eg, hypoglycemia) will be conducted after excluding </w:t>
      </w:r>
      <w:r>
        <w:rPr>
          <w:b w:val="0"/>
          <w:i w:val="0"/>
        </w:rPr>
        <w:t xml:space="preserve">data while on rescue therapy or data after starting another antihyperglycemic medication, which </w:t>
      </w:r>
      <w:r>
        <w:rPr>
          <w:b w:val="0"/>
          <w:i w:val="0"/>
        </w:rPr>
        <w:t xml:space="preserve">is allowed after the permanent discontinuation of investigational product.  Additional details, </w:t>
      </w:r>
      <w:r>
        <w:rPr>
          <w:b w:val="0"/>
          <w:i w:val="0"/>
        </w:rPr>
        <w:t xml:space="preserve">including analysis of AEs of special interest, will be provided in the statistical analysis plan </w:t>
      </w:r>
      <w:r>
        <w:rPr>
          <w:b w:val="0"/>
          <w:i w:val="0"/>
        </w:rPr>
        <w:t>(SAP).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pPr>
        <w:pStyle w:val="ListNumber"/>
      </w:pPr>
      <w:r>
        <w:t>Schedule of Activities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r>
        <w:rPr>
          <w:b/>
        </w:rPr>
        <w:t>Table GPGO.1.</w:t>
      </w:r>
    </w:p>
    <w:p>
      <w:r>
        <w:rPr>
          <w:b/>
        </w:rPr>
        <w:t>Schedule of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</w:tblGrid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Screening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Lead-in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Treatment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Follow-</w:t>
              <w:br/>
              <w:t>up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Study Visit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1a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3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4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5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6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8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9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10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11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13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ETb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801c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Week of Treatment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-4 or -10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-2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0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4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8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16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20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24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32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40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48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52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―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56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Visit Window (days)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―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―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±7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Fasting Visit d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Clinical Assessments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Informed consent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Medical history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Demographics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Previous diabetes therapy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Physical examination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Dilated Fundoscopic Examinatione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Height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Weight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Waist circumference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Vital signs (2 sitting BP and HR)f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Single 12-lead ECGg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Adverse Events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Hypoglycemic events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>
              <w:t>Concomitant medications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Laboratory Tests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Pregnancy test (serum)h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Pregnancy test (urine) i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Follicle-stimulatinghormone test, estradiolj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HbA1c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Fasting Serum Glucose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Insulin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C-peptide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Hematology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Chemistry panel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Lipid panel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Urinary albumin/creatinine ratio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eGFR (CKD-EPI)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Lipase, pancreatic amylase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Calcitonin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</w:tr>
      <w:tr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Review screening lab test results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>
              <w:t>X</w:t>
            </w:r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  <w:tc>
          <w:tcPr>
            <w:tcW w:type="dxa" w:w="180"/>
          </w:tcPr>
          <w:p>
            <w:r/>
          </w:p>
        </w:tc>
      </w:tr>
    </w:tbl>
    <w:p>
      <w:r>
        <w:rPr>
          <w:b w:val="0"/>
          <w:i w:val="0"/>
        </w:rPr>
        <w:t>Follow-</w:t>
      </w:r>
      <w:r>
        <w:rPr>
          <w:b w:val="0"/>
          <w:i w:val="0"/>
        </w:rPr>
        <w:t>up</w:t>
      </w:r>
      <w:r>
        <w:rPr>
          <w:b w:val="0"/>
          <w:i w:val="0"/>
        </w:rPr>
        <w:t>Screening</w:t>
      </w:r>
      <w:r>
        <w:rPr>
          <w:b w:val="0"/>
          <w:i w:val="0"/>
        </w:rPr>
        <w:t>Lead-in</w:t>
      </w:r>
      <w:r>
        <w:rPr>
          <w:b w:val="0"/>
          <w:i w:val="0"/>
        </w:rPr>
        <w:t>Treatment</w:t>
      </w:r>
    </w:p>
    <w:p>
      <w:r>
        <w:rPr>
          <w:b/>
          <w:i w:val="0"/>
        </w:rPr>
        <w:t>Study Visit</w:t>
      </w:r>
      <w:r>
        <w:rPr>
          <w:b/>
          <w:i w:val="0"/>
        </w:rPr>
        <w:t>1</w:t>
      </w:r>
      <w:r>
        <w:rPr>
          <w:b w:val="0"/>
          <w:i w:val="0"/>
        </w:rPr>
        <w:t>a</w:t>
      </w:r>
      <w:r>
        <w:rPr>
          <w:b/>
          <w:i w:val="0"/>
        </w:rPr>
        <w:t>ET</w:t>
      </w:r>
      <w:r>
        <w:rPr>
          <w:b w:val="0"/>
          <w:i w:val="0"/>
        </w:rPr>
        <w:t>b</w:t>
      </w:r>
      <w:r>
        <w:rPr>
          <w:b/>
          <w:i w:val="0"/>
        </w:rPr>
        <w:t>801</w:t>
      </w:r>
      <w:r>
        <w:rPr>
          <w:b w:val="0"/>
          <w:i w:val="0"/>
        </w:rPr>
        <w:t>c</w:t>
      </w:r>
      <w:r>
        <w:rPr>
          <w:b/>
          <w:i w:val="0"/>
        </w:rPr>
        <w:t>Week of Treatment</w:t>
      </w:r>
      <w:r>
        <w:rPr>
          <w:b/>
          <w:i w:val="0"/>
        </w:rPr>
        <w:t>-4 or -10</w:t>
      </w:r>
      <w:r>
        <w:rPr>
          <w:b/>
          <w:i w:val="0"/>
        </w:rPr>
        <w:t>-2</w:t>
      </w:r>
      <w:r>
        <w:rPr>
          <w:b/>
          <w:i w:val="0"/>
        </w:rPr>
        <w:t>―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 w:val="0"/>
          <w:i w:val="0"/>
        </w:rPr>
        <w:t>±7</w:t>
      </w:r>
      <w:r>
        <w:rPr>
          <w:b/>
          <w:i w:val="0"/>
        </w:rPr>
        <w:t>Visit Window (days)</w:t>
      </w:r>
      <w:r>
        <w:rPr>
          <w:b/>
          <w:i w:val="0"/>
        </w:rPr>
        <w:t>―</w:t>
      </w:r>
      <w:r>
        <w:rPr>
          <w:b/>
          <w:i w:val="0"/>
        </w:rPr>
        <w:t>―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/>
          <w:i w:val="0"/>
        </w:rPr>
        <w:t>Fasting Visit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/>
          <w:i w:val="0"/>
        </w:rPr>
        <w:t>Clinical Assessments</w:t>
      </w:r>
      <w:r>
        <w:rPr>
          <w:b w:val="0"/>
          <w:i w:val="0"/>
        </w:rPr>
        <w:t>Informed consent</w:t>
      </w:r>
      <w:r>
        <w:rPr>
          <w:b w:val="0"/>
          <w:i w:val="0"/>
        </w:rPr>
        <w:t>X</w:t>
      </w:r>
      <w:r>
        <w:rPr>
          <w:b w:val="0"/>
          <w:i w:val="0"/>
        </w:rPr>
        <w:t>Medical history</w:t>
      </w:r>
      <w:r>
        <w:rPr>
          <w:b w:val="0"/>
          <w:i w:val="0"/>
        </w:rPr>
        <w:t>X</w:t>
      </w:r>
      <w:r>
        <w:rPr>
          <w:b w:val="0"/>
          <w:i w:val="0"/>
        </w:rPr>
        <w:t>Demographics</w:t>
      </w:r>
      <w:r>
        <w:rPr>
          <w:b w:val="0"/>
          <w:i w:val="0"/>
        </w:rPr>
        <w:t>X</w:t>
      </w:r>
      <w:r>
        <w:rPr>
          <w:b w:val="0"/>
          <w:i w:val="0"/>
        </w:rPr>
        <w:t>Previous diabetes therapy</w:t>
      </w:r>
      <w:r>
        <w:rPr>
          <w:b w:val="0"/>
          <w:i w:val="0"/>
        </w:rPr>
        <w:t>X</w:t>
      </w:r>
      <w:r>
        <w:rPr>
          <w:b w:val="0"/>
          <w:i w:val="0"/>
        </w:rPr>
        <w:t>Physical examination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Dilated Fundoscopic Examination</w:t>
      </w:r>
      <w:r>
        <w:rPr>
          <w:b w:val="0"/>
          <w:i w:val="0"/>
        </w:rPr>
        <w:t>e</w:t>
      </w:r>
      <w:r>
        <w:rPr>
          <w:b w:val="0"/>
          <w:i w:val="0"/>
        </w:rPr>
        <w:t>Height</w:t>
      </w:r>
      <w:r>
        <w:rPr>
          <w:b w:val="0"/>
          <w:i w:val="0"/>
        </w:rPr>
        <w:t>X</w:t>
      </w:r>
      <w:r>
        <w:rPr>
          <w:b w:val="0"/>
          <w:i w:val="0"/>
        </w:rPr>
        <w:t>Weight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Waist circumference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Vital signs (2 sitting BP and HR)</w:t>
      </w:r>
      <w:r>
        <w:rPr>
          <w:b w:val="0"/>
          <w:i w:val="0"/>
        </w:rPr>
        <w:t>f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Single 12-lead ECG</w:t>
      </w:r>
      <w:r>
        <w:rPr>
          <w:b w:val="0"/>
          <w:i w:val="0"/>
        </w:rPr>
        <w:t>g</w:t>
      </w:r>
      <w:r>
        <w:rPr>
          <w:b w:val="0"/>
          <w:i w:val="0"/>
        </w:rPr>
        <w:t>Adverse Events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Hypoglycemic events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Concomitant medications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/>
          <w:i w:val="0"/>
        </w:rPr>
        <w:t>Laboratory Tests</w:t>
      </w:r>
      <w:r>
        <w:rPr>
          <w:b w:val="0"/>
          <w:i w:val="0"/>
        </w:rPr>
        <w:t>X</w:t>
      </w:r>
      <w:r>
        <w:rPr>
          <w:b w:val="0"/>
          <w:i w:val="0"/>
        </w:rPr>
        <w:t>Pregnancy test (serum)</w:t>
      </w:r>
      <w:r>
        <w:rPr>
          <w:b w:val="0"/>
          <w:i w:val="0"/>
        </w:rPr>
        <w:t>h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Pregnancy test (urine)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X</w:t>
      </w:r>
      <w:r>
        <w:rPr>
          <w:b w:val="0"/>
          <w:i w:val="0"/>
        </w:rPr>
        <w:t>Follicle-stimulatinghormone test, estradiol</w:t>
      </w:r>
      <w:r>
        <w:rPr>
          <w:b w:val="0"/>
          <w:i w:val="0"/>
        </w:rPr>
        <w:t>j</w:t>
      </w:r>
      <w:r>
        <w:rPr>
          <w:b w:val="0"/>
          <w:i w:val="0"/>
        </w:rPr>
        <w:t>HbA1c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Fasting Serum Glucose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Insulin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C-peptide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Hematology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Chemistry panel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Lipid panel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Urinary albumin/creatinine ratio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eGFR (CKD-EPI)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Lipase, pancreatic amylase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Calcitonin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X</w:t>
      </w:r>
      <w:r>
        <w:rPr>
          <w:b w:val="0"/>
          <w:i w:val="0"/>
        </w:rPr>
        <w:t>Review screening lab test results</w:t>
      </w:r>
      <w:r>
        <w:rPr>
          <w:b w:val="0"/>
          <w:i w:val="0"/>
        </w:rPr>
        <w:t>X</w:t>
      </w:r>
    </w:p>
    <w:p>
      <w:r>
        <w:rPr>
          <w:b w:val="0"/>
          <w:i w:val="0"/>
        </w:rPr>
        <w:t>LY3298176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