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10.2. Populations for Analyses</w:t>
      </w:r>
    </w:p>
    <w:p>
      <w:r>
        <w:rPr>
          <w:b w:val="0"/>
          <w:i w:val="0"/>
        </w:rPr>
        <w:t>For purposes of analysis, the following populations are defined: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Analysis Set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Screened patients</w:t>
            </w:r>
          </w:p>
        </w:tc>
        <w:tc>
          <w:tcPr>
            <w:tcW w:type="dxa" w:w="4320"/>
          </w:tcPr>
          <w:p>
            <w:r>
              <w:t>All participants who sign informed consent</w:t>
            </w:r>
          </w:p>
        </w:tc>
      </w:tr>
      <w:tr>
        <w:tc>
          <w:tcPr>
            <w:tcW w:type="dxa" w:w="4320"/>
          </w:tcPr>
          <w:p>
            <w:r>
              <w:t>Randomized patients</w:t>
            </w:r>
          </w:p>
        </w:tc>
        <w:tc>
          <w:tcPr>
            <w:tcW w:type="dxa" w:w="4320"/>
          </w:tcPr>
          <w:p>
            <w:r>
              <w:t>All patients who are randomly assigned a treatment arm</w:t>
            </w:r>
          </w:p>
        </w:tc>
      </w:tr>
      <w:tr>
        <w:tc>
          <w:tcPr>
            <w:tcW w:type="dxa" w:w="4320"/>
          </w:tcPr>
          <w:p>
            <w:r>
              <w:t>Modified intention-to-treat (mITT) set</w:t>
            </w:r>
          </w:p>
        </w:tc>
        <w:tc>
          <w:tcPr>
            <w:tcW w:type="dxa" w:w="4320"/>
          </w:tcPr>
          <w:p>
            <w:r>
              <w:t>All randomly assigned participants who are exposed to at least 1 dose of</w:t>
              <w:br/>
              <w:t>investigational product.</w:t>
            </w:r>
          </w:p>
        </w:tc>
      </w:tr>
      <w:tr>
        <w:tc>
          <w:tcPr>
            <w:tcW w:type="dxa" w:w="4320"/>
          </w:tcPr>
          <w:p>
            <w:r>
              <w:t>Efficacy analysis set (EAS)</w:t>
            </w:r>
          </w:p>
        </w:tc>
        <w:tc>
          <w:tcPr>
            <w:tcW w:type="dxa" w:w="4320"/>
          </w:tcPr>
          <w:p>
            <w:r>
              <w:t>Data obtained during Study Period II from mITT, excluding data after</w:t>
              <w:br/>
              <w:t>initiating rescue antihyperglycemic medication or stopping investigational</w:t>
              <w:br/>
              <w:t>product (last dose date + 7 days). In the event of a treatment error,</w:t>
              <w:br/>
              <w:t>participants will be analyzed according to the treatment they were</w:t>
              <w:br/>
              <w:t>randomized.</w:t>
            </w:r>
          </w:p>
        </w:tc>
      </w:tr>
      <w:tr>
        <w:tc>
          <w:tcPr>
            <w:tcW w:type="dxa" w:w="4320"/>
          </w:tcPr>
          <w:p>
            <w:r>
              <w:t>Full analysis set (FAS)</w:t>
            </w:r>
          </w:p>
        </w:tc>
        <w:tc>
          <w:tcPr>
            <w:tcW w:type="dxa" w:w="4320"/>
          </w:tcPr>
          <w:p>
            <w:r>
              <w:t>Data obtained during Study Period II from mITT, regardless of adherence</w:t>
              <w:br/>
              <w:t>to investigational product or initiation of rescue antihyperglycemic</w:t>
              <w:br/>
              <w:t>medication.</w:t>
            </w:r>
          </w:p>
        </w:tc>
      </w:tr>
      <w:tr>
        <w:tc>
          <w:tcPr>
            <w:tcW w:type="dxa" w:w="4320"/>
          </w:tcPr>
          <w:p>
            <w:r>
              <w:t>Safety analysis set (SAS)</w:t>
            </w:r>
          </w:p>
        </w:tc>
        <w:tc>
          <w:tcPr>
            <w:tcW w:type="dxa" w:w="4320"/>
          </w:tcPr>
          <w:p>
            <w:r>
              <w:t>Data obtained during both Study Period II and III from mITT, regardless</w:t>
              <w:br/>
              <w:t>of adherence to investigational product or initiation of rescue</w:t>
              <w:br/>
              <w:t>antihyperglycemic medication.</w:t>
            </w:r>
          </w:p>
        </w:tc>
      </w:tr>
    </w:tbl>
    <w:p>
      <w:r>
        <w:rPr>
          <w:b/>
          <w:i w:val="0"/>
        </w:rPr>
        <w:t>Analysis Set</w:t>
      </w:r>
      <w:r>
        <w:rPr>
          <w:b/>
          <w:i w:val="0"/>
        </w:rPr>
        <w:t>Description</w:t>
      </w:r>
      <w:r>
        <w:rPr>
          <w:b w:val="0"/>
          <w:i w:val="0"/>
        </w:rPr>
        <w:t>Screened patients</w:t>
      </w:r>
      <w:r>
        <w:rPr>
          <w:b w:val="0"/>
          <w:i w:val="0"/>
        </w:rPr>
        <w:t>All participants who sign informed consent</w:t>
      </w:r>
      <w:r>
        <w:rPr>
          <w:b w:val="0"/>
          <w:i w:val="0"/>
        </w:rPr>
        <w:t>Randomized patients</w:t>
      </w:r>
      <w:r>
        <w:rPr>
          <w:b w:val="0"/>
          <w:i w:val="0"/>
        </w:rPr>
        <w:t>All patients who are randomly assigned a treatment arm</w:t>
      </w:r>
      <w:r>
        <w:rPr>
          <w:b w:val="0"/>
          <w:i w:val="0"/>
        </w:rPr>
        <w:t>Modified intention-to-treat (mITT) set</w:t>
      </w:r>
      <w:r>
        <w:rPr>
          <w:b w:val="0"/>
          <w:i w:val="0"/>
        </w:rPr>
        <w:t xml:space="preserve">All randomly assigned participants who are exposed to at least 1 dose of </w:t>
      </w:r>
      <w:r>
        <w:rPr>
          <w:b w:val="0"/>
          <w:i w:val="0"/>
        </w:rPr>
        <w:t>investigational product.</w:t>
      </w:r>
      <w:r>
        <w:rPr>
          <w:b w:val="0"/>
          <w:i w:val="0"/>
        </w:rPr>
        <w:t>Efficacy analysis set (EAS)</w:t>
      </w:r>
      <w:r>
        <w:rPr>
          <w:b w:val="0"/>
          <w:i w:val="0"/>
        </w:rPr>
        <w:t xml:space="preserve">Data obtained during Study Period II from mITT, excluding data after </w:t>
      </w:r>
      <w:r>
        <w:rPr>
          <w:b w:val="0"/>
          <w:i w:val="0"/>
        </w:rPr>
        <w:t xml:space="preserve">initiating rescue antihyperglycemic medication or stopping investigational </w:t>
      </w:r>
      <w:r>
        <w:rPr>
          <w:b w:val="0"/>
          <w:i w:val="0"/>
        </w:rPr>
        <w:t xml:space="preserve">product (last dose date + 7 days). In the event of a treatment error, </w:t>
      </w:r>
      <w:r>
        <w:rPr>
          <w:b w:val="0"/>
          <w:i w:val="0"/>
        </w:rPr>
        <w:t xml:space="preserve">participants will be analyzed according to the treatment they were </w:t>
      </w:r>
      <w:r>
        <w:rPr>
          <w:b w:val="0"/>
          <w:i w:val="0"/>
        </w:rPr>
        <w:t>randomized.</w:t>
      </w:r>
      <w:r>
        <w:rPr>
          <w:b w:val="0"/>
          <w:i w:val="0"/>
        </w:rPr>
        <w:t>Full analysis set (FAS)</w:t>
      </w:r>
      <w:r>
        <w:rPr>
          <w:b w:val="0"/>
          <w:i w:val="0"/>
        </w:rPr>
        <w:t xml:space="preserve">Data obtained during Study Period II from mITT, regardless of adherence </w:t>
      </w:r>
      <w:r>
        <w:rPr>
          <w:b w:val="0"/>
          <w:i w:val="0"/>
        </w:rPr>
        <w:t xml:space="preserve">to investigational product or initiation of rescue antihyperglycemic </w:t>
      </w:r>
      <w:r>
        <w:rPr>
          <w:b w:val="0"/>
          <w:i w:val="0"/>
        </w:rPr>
        <w:t xml:space="preserve">medication. </w:t>
      </w:r>
      <w:r>
        <w:rPr>
          <w:b w:val="0"/>
          <w:i w:val="0"/>
        </w:rPr>
        <w:t>Safety analysis set (SAS)</w:t>
      </w:r>
      <w:r>
        <w:rPr>
          <w:b w:val="0"/>
          <w:i w:val="0"/>
        </w:rPr>
        <w:t xml:space="preserve">Data obtained during both Study Period II and III from mITT, regardless </w:t>
      </w:r>
      <w:r>
        <w:rPr>
          <w:b w:val="0"/>
          <w:i w:val="0"/>
        </w:rPr>
        <w:t xml:space="preserve">of adherence to investigational product or initiation of rescue </w:t>
      </w:r>
      <w:r>
        <w:rPr>
          <w:b w:val="0"/>
          <w:i w:val="0"/>
        </w:rPr>
        <w:t>antihyperglycemic medication.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p>
      <w:pPr>
        <w:pStyle w:val="Heading2"/>
      </w:pPr>
      <w:r>
        <w:t>10.3. Statistical Analyses</w:t>
      </w:r>
    </w:p>
    <w:p>
      <w:pPr>
        <w:pStyle w:val="Heading3"/>
      </w:pPr>
      <w:r>
        <w:t>10.3.1. General Statistical Considerations</w:t>
      </w:r>
    </w:p>
    <w:p>
      <w:r>
        <w:rPr>
          <w:b w:val="0"/>
          <w:i w:val="0"/>
        </w:rPr>
        <w:t xml:space="preserve">Statistical analysis of this study will be the responsibility of Lilly or its designee.  Any change to </w:t>
      </w:r>
      <w:r>
        <w:rPr>
          <w:b w:val="0"/>
          <w:i w:val="0"/>
        </w:rPr>
        <w:t xml:space="preserve">the data analysis methods described in the protocol will require an amendment ONLY if it </w:t>
      </w:r>
      <w:r>
        <w:rPr>
          <w:b w:val="0"/>
          <w:i w:val="0"/>
        </w:rPr>
        <w:t xml:space="preserve">changes a principal feature of the protocol.  Any other change to the data analysis methods </w:t>
      </w:r>
      <w:r>
        <w:rPr>
          <w:b w:val="0"/>
          <w:i w:val="0"/>
        </w:rPr>
        <w:t xml:space="preserve">described in the protocol, and the justification for making the change, will be described in the </w:t>
      </w:r>
      <w:r>
        <w:rPr>
          <w:b w:val="0"/>
          <w:i w:val="0"/>
        </w:rPr>
        <w:t xml:space="preserve">statistical analysis plan (SAP) or the clinical study report (CSR). Additional exploratory data </w:t>
      </w:r>
      <w:r>
        <w:rPr>
          <w:b w:val="0"/>
          <w:i w:val="0"/>
        </w:rPr>
        <w:t>analyses may be conducted, as deemed appropriate.</w:t>
      </w:r>
    </w:p>
    <w:p>
      <w:r>
        <w:rPr>
          <w:b w:val="0"/>
          <w:i w:val="0"/>
        </w:rPr>
        <w:t xml:space="preserve">Unless otherwise noted, all tests of treatment effects will be conducted at a 2-sided alpha level of </w:t>
      </w:r>
      <w:r>
        <w:rPr>
          <w:b w:val="0"/>
          <w:i w:val="0"/>
        </w:rPr>
        <w:t xml:space="preserve">0.05, and the confidence interval (CI) will be calculated at 95%, 2-sided.  In statistical </w:t>
      </w:r>
      <w:r>
        <w:rPr>
          <w:b w:val="0"/>
          <w:i w:val="0"/>
        </w:rPr>
        <w:t>summaries and analyses, patients will be analyzed as randomized.</w:t>
      </w:r>
    </w:p>
    <w:p>
      <w:r>
        <w:rPr>
          <w:b w:val="0"/>
          <w:i w:val="0"/>
        </w:rPr>
        <w:t xml:space="preserve">Efficacy and safety will be assessed using the modified intention-to-treat (mITT) population, </w:t>
      </w:r>
      <w:r>
        <w:rPr>
          <w:b w:val="0"/>
          <w:i w:val="0"/>
        </w:rPr>
        <w:t xml:space="preserve">which consists of all randomly assigned participants who are exposed to at least 1 dose of </w:t>
      </w:r>
      <w:r>
        <w:rPr>
          <w:b w:val="0"/>
          <w:i w:val="0"/>
        </w:rPr>
        <w:t xml:space="preserve">investigational product.  The primary efficacy of tirzepatide versus dulaglutide 0.75 at 52 weeks </w:t>
      </w:r>
      <w:r>
        <w:rPr>
          <w:b w:val="0"/>
          <w:i w:val="0"/>
        </w:rPr>
        <w:t xml:space="preserve">will be guided by the “efficacy” estimand using the efficacy analysis set (EAS).  The “efficacy” </w:t>
      </w:r>
      <w:r>
        <w:rPr>
          <w:b w:val="0"/>
          <w:i w:val="0"/>
        </w:rPr>
        <w:t xml:space="preserve">estimand represents efficacy prior to discontinuation of investigational product without </w:t>
      </w:r>
      <w:r>
        <w:rPr>
          <w:b w:val="0"/>
          <w:i w:val="0"/>
        </w:rPr>
        <w:t>confounding effects of rescue therapy for persistent severe hyperglycemia.</w:t>
      </w:r>
    </w:p>
    <w:p>
      <w:r>
        <w:rPr>
          <w:b w:val="0"/>
          <w:i w:val="0"/>
        </w:rPr>
        <w:t xml:space="preserve">Summary statistics for continuous measures will include sample size, mean, SD, median, </w:t>
      </w:r>
      <w:r>
        <w:rPr>
          <w:b w:val="0"/>
          <w:i w:val="0"/>
        </w:rPr>
        <w:t xml:space="preserve">minimum, and maximum.  The analysis model for comparisons among treatment arms relative to </w:t>
      </w:r>
      <w:r>
        <w:rPr>
          <w:b w:val="0"/>
          <w:i w:val="0"/>
        </w:rPr>
        <w:t xml:space="preserve">continuous measurements assessed over time will be an MMRM, with terms: treatment, visit, </w:t>
      </w:r>
      <w:r>
        <w:rPr>
          <w:b w:val="0"/>
          <w:i w:val="0"/>
        </w:rPr>
        <w:t xml:space="preserve">and treatment-by-visit interaction as stratification factors; baseline HbA1c (≤8.5% or &gt;8.5%), </w:t>
      </w:r>
      <w:r>
        <w:rPr>
          <w:b w:val="0"/>
          <w:i w:val="0"/>
        </w:rPr>
        <w:t>baseline BMI group (&lt;25 or ≥25 kg/m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), and washout of antidiabetic medication (yes or no) as </w:t>
      </w:r>
      <w:r>
        <w:rPr>
          <w:b w:val="0"/>
          <w:i w:val="0"/>
        </w:rPr>
        <w:t xml:space="preserve">fixed effects; and baseline measurement as a covariate.  An unstructured covariance structure </w:t>
      </w:r>
      <w:r>
        <w:rPr>
          <w:b w:val="0"/>
          <w:i w:val="0"/>
        </w:rPr>
        <w:t>will model the relationship of within-patient errors.</w:t>
      </w:r>
    </w:p>
    <w:p>
      <w:r>
        <w:rPr>
          <w:b w:val="0"/>
          <w:i w:val="0"/>
        </w:rPr>
        <w:t xml:space="preserve">The Kaplan-Meier method will be used for estimation of cumulative event-free survival rates </w:t>
      </w:r>
      <w:r>
        <w:rPr>
          <w:b w:val="0"/>
          <w:i w:val="0"/>
        </w:rPr>
        <w:t xml:space="preserve">over time, and Cox proportional hazards regression analysis will be used to compare hazard rates </w:t>
      </w:r>
      <w:r>
        <w:rPr>
          <w:b w:val="0"/>
          <w:i w:val="0"/>
        </w:rPr>
        <w:t>among treatments.</w:t>
      </w:r>
    </w:p>
    <w:p>
      <w:r>
        <w:rPr>
          <w:b w:val="0"/>
          <w:i w:val="0"/>
        </w:rPr>
        <w:t xml:space="preserve">Summary statistics for categorical measures (including categorized continuous measures) will </w:t>
      </w:r>
      <w:r>
        <w:rPr>
          <w:b w:val="0"/>
          <w:i w:val="0"/>
        </w:rPr>
        <w:t xml:space="preserve">include sample size, frequency, and percentages.  Fisher’s exact test will be used to examine the </w:t>
      </w:r>
      <w:r>
        <w:rPr>
          <w:b w:val="0"/>
          <w:i w:val="0"/>
        </w:rPr>
        <w:t xml:space="preserve">treatment difference in categorical outcomes. Logistic regression may be used to examine the </w:t>
      </w:r>
      <w:r>
        <w:rPr>
          <w:b w:val="0"/>
          <w:i w:val="0"/>
        </w:rPr>
        <w:t xml:space="preserve">treatment difference in binary efficacy outcomes.  Summary statistics for discrete count </w:t>
      </w:r>
      <w:r>
        <w:rPr>
          <w:b w:val="0"/>
          <w:i w:val="0"/>
        </w:rPr>
        <w:t xml:space="preserve">measures will include sample size, mean, SD, median, minimum, and maximum.  The negative </w:t>
      </w:r>
      <w:r>
        <w:rPr>
          <w:b w:val="0"/>
          <w:i w:val="0"/>
        </w:rPr>
        <w:t xml:space="preserve">binomial regression model will be used for the treatment comparison of discrete count measures. </w:t>
      </w:r>
    </w:p>
    <w:p>
      <w:r>
        <w:rPr>
          <w:b w:val="0"/>
          <w:i w:val="0"/>
        </w:rPr>
        <w:t xml:space="preserve">A multiplicity adjustment will be applied to control the overall type I error rate of primary </w:t>
      </w:r>
      <w:r>
        <w:rPr>
          <w:b w:val="0"/>
          <w:i w:val="0"/>
        </w:rPr>
        <w:t xml:space="preserve">efficacy endpoint assessments controlling at a 2-sided 0.05 level.  </w:t>
      </w:r>
    </w:p>
    <w:p>
      <w:r>
        <w:rPr>
          <w:b w:val="0"/>
          <w:i w:val="0"/>
        </w:rPr>
        <w:t xml:space="preserve">Other statistical methods may be used, as appropriate, and details will be documented in the </w:t>
      </w:r>
      <w:r>
        <w:rPr>
          <w:b w:val="0"/>
          <w:i w:val="0"/>
        </w:rPr>
        <w:t>SAP.</w:t>
      </w:r>
    </w:p>
    <w:p>
      <w:r>
        <w:rPr>
          <w:b w:val="0"/>
          <w:i w:val="0"/>
        </w:rPr>
        <w:t>LY3298176</w:t>
      </w:r>
    </w:p>
    <w:p>
      <w:r>
        <w:rPr>
          <w:b/>
        </w:rPr>
        <w:t>I8F-JE-GPGO(a) Clinical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