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Study Design</w:t>
      </w:r>
    </w:p>
    <w:p>
      <w:r>
        <w:rPr>
          <w:b/>
        </w:rPr>
        <w:t>5.1.</w:t>
      </w:r>
    </w:p>
    <w:p>
      <w:r>
        <w:rPr>
          <w:b/>
        </w:rPr>
        <w:t>Overall Design</w:t>
      </w:r>
    </w:p>
    <w:p>
      <w:r>
        <w:rPr>
          <w:b w:val="0"/>
          <w:i w:val="0"/>
        </w:rPr>
        <w:t xml:space="preserve">Study GPGO is a multicenter, randomized, double-blind, parallel, active-controlled, 52-week </w:t>
      </w:r>
      <w:r>
        <w:rPr>
          <w:b w:val="0"/>
          <w:i w:val="0"/>
        </w:rPr>
        <w:t>Phase 3 study which will assess the safety and efficacy of tirzepatide (5, 10, and 15 mg),</w:t>
      </w:r>
      <w:r>
        <w:rPr>
          <w:b w:val="0"/>
          <w:i w:val="0"/>
        </w:rPr>
        <w:t xml:space="preserve">compared to dulaglutide 0.75 mg in approximately 636 randomized patients with T2DM who </w:t>
      </w:r>
      <w:r>
        <w:rPr>
          <w:b w:val="0"/>
          <w:i w:val="0"/>
        </w:rPr>
        <w:t>have discontinued OAM monotherapy or are OAM-naïve.</w:t>
      </w:r>
    </w:p>
    <w:p>
      <w:r>
        <w:rPr>
          <w:b w:val="0"/>
          <w:i w:val="0"/>
        </w:rPr>
        <w:t xml:space="preserve">Study GPGO will consist of 3 periods:  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 xml:space="preserve">a 4-week (OAM-naïve) or 10-week (at least 8-week OAM washout) screening/lead-in </w:t>
      </w:r>
      <w:r>
        <w:rPr>
          <w:b w:val="0"/>
          <w:i w:val="0"/>
        </w:rPr>
        <w:t xml:space="preserve">period </w:t>
      </w:r>
      <w:r>
        <w:rPr>
          <w:b w:val="0"/>
          <w:i w:val="0"/>
        </w:rPr>
        <w:t></w:t>
      </w:r>
      <w:r>
        <w:rPr>
          <w:b w:val="0"/>
          <w:i w:val="0"/>
        </w:rPr>
        <w:t>a 52-week treatment period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a 4-week safety follow-up period  </w:t>
      </w:r>
    </w:p>
    <w:p>
      <w:r>
        <w:rPr>
          <w:b w:val="0"/>
          <w:i w:val="0"/>
        </w:rPr>
        <w:t xml:space="preserve">Patients will be randomized in a 1:1:1:1 ratio (tirzepatide 5, 10, 15 mg, and dulaglutide 0.75 mg). </w:t>
      </w:r>
    </w:p>
    <w:p>
      <w:r>
        <w:rPr>
          <w:b w:val="0"/>
          <w:i w:val="0"/>
        </w:rPr>
        <w:t xml:space="preserve">Patients will be stratified based on baseline HbA1c (≤8.5% and ˃8.5%), baseline BMI (&lt;25 or </w:t>
      </w:r>
      <w:r>
        <w:rPr>
          <w:b w:val="0"/>
          <w:i w:val="0"/>
        </w:rPr>
        <w:t>≥25 kg/m</w:t>
      </w:r>
      <w:r>
        <w:rPr>
          <w:b w:val="0"/>
          <w:i w:val="0"/>
        </w:rPr>
        <w:t>2</w:t>
      </w:r>
      <w:r>
        <w:rPr>
          <w:b w:val="0"/>
          <w:i w:val="0"/>
        </w:rPr>
        <w:t>), and washout of antidiabetic medication (yes or no) (see</w:t>
      </w:r>
      <w:r>
        <w:rPr>
          <w:b w:val="0"/>
          <w:i w:val="0"/>
        </w:rPr>
        <w:t xml:space="preserve"> Figure GPGO.1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Screening procedures and patient training (disease monitoring and management procedures, </w:t>
      </w:r>
      <w:r>
        <w:rPr>
          <w:b w:val="0"/>
          <w:i w:val="0"/>
        </w:rPr>
        <w:t xml:space="preserve">study diaries, and study procedures) will be performed at Visits 1 and 2 (screening and lead-in </w:t>
      </w:r>
      <w:r>
        <w:rPr>
          <w:b w:val="0"/>
          <w:i w:val="0"/>
        </w:rPr>
        <w:t xml:space="preserve">periods).  The purpose of screening procedures at Visit 1 is to establish initial eligibility and to </w:t>
      </w:r>
      <w:r>
        <w:rPr>
          <w:b w:val="0"/>
          <w:i w:val="0"/>
        </w:rPr>
        <w:t xml:space="preserve">obtain blood samples for laboratory assessments needed to confirm eligibility at Visit 2.  </w:t>
      </w:r>
      <w:r>
        <w:rPr>
          <w:b w:val="0"/>
          <w:i w:val="0"/>
        </w:rPr>
        <w:t xml:space="preserve">A patient who has been taking OAM monotherapy must complete the 8-week washout period </w:t>
      </w:r>
      <w:r>
        <w:rPr>
          <w:b w:val="0"/>
          <w:i w:val="0"/>
        </w:rPr>
        <w:t>prior to Visit 2.</w:t>
      </w:r>
    </w:p>
    <w:p>
      <w:r>
        <w:rPr>
          <w:b w:val="0"/>
          <w:i w:val="0"/>
        </w:rPr>
        <w:t xml:space="preserve">At Visit 2, the screening laboratory results will be reviewed.  For those patients meeting all other </w:t>
      </w:r>
      <w:r>
        <w:rPr>
          <w:b w:val="0"/>
          <w:i w:val="0"/>
        </w:rPr>
        <w:t xml:space="preserve">eligibility requirements, a dilated fundoscopic examination performed by an ophthalmologist or </w:t>
      </w:r>
      <w:r>
        <w:rPr>
          <w:b w:val="0"/>
          <w:i w:val="0"/>
        </w:rPr>
        <w:t xml:space="preserve">optometrist, must be completed between Visit 2 and Visit 3 to ensure patients with proliferative </w:t>
      </w:r>
      <w:r>
        <w:rPr>
          <w:b w:val="0"/>
          <w:i w:val="0"/>
        </w:rPr>
        <w:t xml:space="preserve">diabetic retinopathy, diabetic maculopathy, or nonproliferative diabetic retinopathy that requires </w:t>
      </w:r>
      <w:r>
        <w:rPr>
          <w:b w:val="0"/>
          <w:i w:val="0"/>
        </w:rPr>
        <w:t xml:space="preserve">acute treatment, are identified and excluded.  </w:t>
      </w:r>
    </w:p>
    <w:p>
      <w:r>
        <w:rPr>
          <w:b w:val="0"/>
          <w:i w:val="0"/>
        </w:rPr>
        <w:t xml:space="preserve">At Visit 3, patients will perform all required baseline study procedures (including the collection </w:t>
      </w:r>
      <w:r>
        <w:rPr>
          <w:b w:val="0"/>
          <w:i w:val="0"/>
        </w:rPr>
        <w:t xml:space="preserve">of all baseline laboratory measures and electrocardiograms [ECGs]) and confirm all eligibility </w:t>
      </w:r>
      <w:r>
        <w:rPr>
          <w:b w:val="0"/>
          <w:i w:val="0"/>
        </w:rPr>
        <w:t xml:space="preserve">criteria prior to randomization and prior to taking the first dose of investigational product.  </w:t>
      </w:r>
    </w:p>
    <w:p>
      <w:r>
        <w:rPr>
          <w:b w:val="0"/>
          <w:i w:val="0"/>
        </w:rPr>
        <w:t xml:space="preserve">Following randomization, the patient will inject the first dose of investigational product at the </w:t>
      </w:r>
      <w:r>
        <w:rPr>
          <w:b w:val="0"/>
          <w:i w:val="0"/>
        </w:rPr>
        <w:t xml:space="preserve">study site, according to the dose escalation regimen.  The date and time of the first dose of </w:t>
      </w:r>
      <w:r>
        <w:rPr>
          <w:b w:val="0"/>
          <w:i w:val="0"/>
        </w:rPr>
        <w:t xml:space="preserve">investigational product should be recorded on the electronic case report form (eCRF).  Beginning </w:t>
      </w:r>
      <w:r>
        <w:rPr>
          <w:b w:val="0"/>
          <w:i w:val="0"/>
        </w:rPr>
        <w:t>at randomization, all patients will receive investigational product according to the randomized</w:t>
      </w:r>
      <w:r>
        <w:rPr>
          <w:b w:val="0"/>
          <w:i w:val="0"/>
        </w:rPr>
        <w:t xml:space="preserve">treatment arm for the duration of the 52-week treatment period.  A safety follow-up visit will </w:t>
      </w:r>
      <w:r>
        <w:rPr>
          <w:b w:val="0"/>
          <w:i w:val="0"/>
        </w:rPr>
        <w:t>occur approximately 4 weeks following the last dose of the investigational product.</w:t>
      </w:r>
    </w:p>
    <w:p>
      <w:r>
        <w:rPr>
          <w:b w:val="0"/>
          <w:i w:val="0"/>
        </w:rPr>
        <w:t xml:space="preserve">The starting dose of tirzepatide will be 2.5 mg QW for 4 weeks, followed by an increase to 5 mg </w:t>
      </w:r>
      <w:r>
        <w:rPr>
          <w:b w:val="0"/>
          <w:i w:val="0"/>
        </w:rPr>
        <w:t xml:space="preserve">QW for the duration of the study in the tirzepatide 5-mg arm.  For the 10-mg arm, the starting </w:t>
      </w:r>
      <w:r>
        <w:rPr>
          <w:b w:val="0"/>
          <w:i w:val="0"/>
        </w:rPr>
        <w:t xml:space="preserve">dose of tirzepatide will be 2.5 mg QW for 4 weeks, then the dose will be increased by 2.5 mg 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 w:val="0"/>
          <w:i w:val="0"/>
        </w:rPr>
        <w:t xml:space="preserve">every 4 weeks (2.5 to 5 to 7.5 to 10 mg) until the 10-mg dose is reached and maintained for the </w:t>
      </w:r>
      <w:r>
        <w:rPr>
          <w:b w:val="0"/>
          <w:i w:val="0"/>
        </w:rPr>
        <w:t xml:space="preserve">duration of the study.  For the 15-mg arm, the starting dose of tirzepatide will be 2.5 mg QW for </w:t>
      </w:r>
      <w:r>
        <w:rPr>
          <w:b w:val="0"/>
          <w:i w:val="0"/>
        </w:rPr>
        <w:t xml:space="preserve">4 weeks, then the dose will be increased by 2.5 mg every 4 weeks (2.5 to 5 to 7.5 to 10 to 12.5 to </w:t>
      </w:r>
      <w:r>
        <w:rPr>
          <w:b w:val="0"/>
          <w:i w:val="0"/>
        </w:rPr>
        <w:t xml:space="preserve">15 mg) until the 15-mg dose is reached and maintained for the duration of the study.  Patients </w:t>
      </w:r>
      <w:r>
        <w:rPr>
          <w:b w:val="0"/>
          <w:i w:val="0"/>
        </w:rPr>
        <w:t xml:space="preserve">will be permitted to use concomitant medications that they require during the study, except </w:t>
      </w:r>
      <w:r>
        <w:rPr>
          <w:b w:val="0"/>
          <w:i w:val="0"/>
        </w:rPr>
        <w:t xml:space="preserve">certain medications that may interfere with the assessment of efficacy and safety characteristics </w:t>
      </w:r>
      <w:r>
        <w:rPr>
          <w:b w:val="0"/>
          <w:i w:val="0"/>
        </w:rPr>
        <w:t>of the study treatments (Section</w:t>
      </w:r>
      <w:r>
        <w:rPr>
          <w:b w:val="0"/>
          <w:i w:val="0"/>
        </w:rPr>
        <w:t xml:space="preserve"> 7.7</w:t>
      </w:r>
      <w:r>
        <w:rPr>
          <w:b w:val="0"/>
          <w:i w:val="0"/>
        </w:rPr>
        <w:t xml:space="preserve">).  </w:t>
      </w:r>
    </w:p>
    <w:p>
      <w:r>
        <w:rPr>
          <w:b w:val="0"/>
          <w:i w:val="0"/>
        </w:rPr>
        <w:t xml:space="preserve">Investigative site staff will inform patients that they must consult with the investigator or a </w:t>
      </w:r>
      <w:r>
        <w:rPr>
          <w:b w:val="0"/>
          <w:i w:val="0"/>
        </w:rPr>
        <w:t xml:space="preserve">designated site staff member upon being prescribed any new medications during the study.  This </w:t>
      </w:r>
      <w:r>
        <w:rPr>
          <w:b w:val="0"/>
          <w:i w:val="0"/>
        </w:rPr>
        <w:t>may not be possible when initiated for treatment of medical emergencies, in which case the</w:t>
      </w:r>
      <w:r>
        <w:rPr>
          <w:b w:val="0"/>
          <w:i w:val="0"/>
        </w:rPr>
        <w:t xml:space="preserve">patient will inform the investigator or a designated site staff member as soon as possible.  Any </w:t>
      </w:r>
      <w:r>
        <w:rPr>
          <w:b w:val="0"/>
          <w:i w:val="0"/>
        </w:rPr>
        <w:t xml:space="preserve">additional medication initiated during the course of the study (including over-the-counter [OTC] </w:t>
      </w:r>
      <w:r>
        <w:rPr>
          <w:b w:val="0"/>
          <w:i w:val="0"/>
        </w:rPr>
        <w:t xml:space="preserve">drugs) must be documented, and the name of the drug(s) and the date(s) of administration must </w:t>
      </w:r>
      <w:r>
        <w:rPr>
          <w:b w:val="0"/>
          <w:i w:val="0"/>
        </w:rPr>
        <w:t xml:space="preserve">be recorded in the patient’s diary and on the “Concomitant Medications” section of the eCRF.  </w:t>
      </w:r>
    </w:p>
    <w:p>
      <w:r>
        <w:rPr>
          <w:b w:val="0"/>
          <w:i w:val="0"/>
        </w:rPr>
        <w:t xml:space="preserve">Antihyperglycemic medications other than investigational products are not allowed at any time </w:t>
      </w:r>
      <w:r>
        <w:rPr>
          <w:b w:val="0"/>
          <w:i w:val="0"/>
        </w:rPr>
        <w:t>during the study, except as allowed for rescue therapy, after early investigational product</w:t>
      </w:r>
      <w:r>
        <w:rPr>
          <w:b w:val="0"/>
          <w:i w:val="0"/>
        </w:rPr>
        <w:t xml:space="preserve">discontinuation. An additional therapeutic intervention should be considered in patients who </w:t>
      </w:r>
      <w:r>
        <w:rPr>
          <w:b w:val="0"/>
          <w:i w:val="0"/>
        </w:rPr>
        <w:t xml:space="preserve">develop severe, persistent hyperglycemia after randomization at the discretion of investigator in </w:t>
      </w:r>
      <w:r>
        <w:rPr>
          <w:b w:val="0"/>
          <w:i w:val="0"/>
        </w:rPr>
        <w:t xml:space="preserve">accordance with American Diabetes Association/European Association for the Study of Diabetes </w:t>
      </w:r>
      <w:r>
        <w:rPr>
          <w:b w:val="0"/>
          <w:i w:val="0"/>
        </w:rPr>
        <w:t xml:space="preserve">guidance.  Rescue therapy with antihyperglycemic medications, including insulins, will be </w:t>
      </w:r>
      <w:r>
        <w:rPr>
          <w:b w:val="0"/>
          <w:i w:val="0"/>
        </w:rPr>
        <w:t xml:space="preserve">allowed in certain situations after randomization due to severe, persistent hyperglycemia. In this </w:t>
      </w:r>
      <w:r>
        <w:rPr>
          <w:b w:val="0"/>
          <w:i w:val="0"/>
        </w:rPr>
        <w:t>case, GLP-1 receptor agonists and DPP-4 inhibitors are not allowed as rescue therapies.</w:t>
      </w:r>
    </w:p>
    <w:p>
      <w:r>
        <w:rPr>
          <w:b w:val="0"/>
          <w:i w:val="0"/>
        </w:rPr>
        <w:t xml:space="preserve">After early discontinuation of study treatment, any antihyperglycemic medications, except for </w:t>
      </w:r>
      <w:r>
        <w:rPr>
          <w:b w:val="0"/>
          <w:i w:val="0"/>
        </w:rPr>
        <w:t xml:space="preserve">GLP-1 receptor agonists may be allowed. Short-term insulin use for up to 14 days is allowed for </w:t>
      </w:r>
      <w:r>
        <w:rPr>
          <w:b w:val="0"/>
          <w:i w:val="0"/>
        </w:rPr>
        <w:t xml:space="preserve">certain clinical situations (eg, elective surgery, during hospitalization, hyperosmolar states). If </w:t>
      </w:r>
      <w:r>
        <w:rPr>
          <w:b w:val="0"/>
          <w:i w:val="0"/>
        </w:rPr>
        <w:t xml:space="preserve">insulin is prescribed as a rescue therapy, it must be differentiated from short-term use of insulin </w:t>
      </w:r>
      <w:r>
        <w:rPr>
          <w:b w:val="0"/>
          <w:i w:val="0"/>
        </w:rPr>
        <w:t>therapy for medical emergencies when reported in the eCRF.</w:t>
      </w:r>
    </w:p>
    <w:p>
      <w:r>
        <w:rPr>
          <w:b w:val="0"/>
          <w:i w:val="0"/>
        </w:rPr>
        <w:t>All nonstudy medications will be recorded on source documents at all visits.</w:t>
      </w:r>
    </w:p>
    <w:p>
      <w:r>
        <w:rPr>
          <w:b w:val="0"/>
          <w:i w:val="0"/>
        </w:rPr>
        <w:t xml:space="preserve">Study governance considerations are described in detail in </w:t>
      </w:r>
      <w:r>
        <w:rPr>
          <w:b w:val="0"/>
          <w:i w:val="0"/>
        </w:rPr>
        <w:t>Appendix 3.</w:t>
      </w:r>
    </w:p>
    <w:p>
      <w:r>
        <w:rPr>
          <w:b w:val="0"/>
          <w:i w:val="0"/>
        </w:rPr>
        <w:t>Figure GPGO.1</w:t>
      </w:r>
      <w:r>
        <w:rPr>
          <w:b w:val="0"/>
          <w:i w:val="0"/>
        </w:rPr>
        <w:t xml:space="preserve"> illustrates the study design.  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/>
          <w:i w:val="0"/>
        </w:rPr>
        <w:t>Study Period I</w:t>
      </w:r>
      <w:r>
        <w:rPr>
          <w:b/>
          <w:i w:val="0"/>
        </w:rPr>
        <w:t>Study Period II</w:t>
      </w:r>
      <w:r>
        <w:rPr>
          <w:b/>
          <w:i w:val="0"/>
        </w:rPr>
        <w:t>Study Period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Screening</w:t>
              <w:br/>
              <w:t>Lead-in</w:t>
              <w:br/>
              <w:t>Washout</w:t>
              <w:br/>
              <w:t>OAM or</w:t>
              <w:br/>
              <w:t>D/E only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Tirzepatide 5 mg QW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Follow-up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2.5 mg</w:t>
            </w:r>
          </w:p>
        </w:tc>
        <w:tc>
          <w:tcPr>
            <w:tcW w:type="dxa" w:w="960"/>
          </w:tcPr>
          <w:p>
            <w:r>
              <w:t>5 mg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Tirzepatide 10 mg QW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2.5 mg</w:t>
            </w:r>
          </w:p>
        </w:tc>
        <w:tc>
          <w:tcPr>
            <w:tcW w:type="dxa" w:w="960"/>
          </w:tcPr>
          <w:p>
            <w:r>
              <w:t>5 mg</w:t>
            </w:r>
          </w:p>
        </w:tc>
        <w:tc>
          <w:tcPr>
            <w:tcW w:type="dxa" w:w="960"/>
          </w:tcPr>
          <w:p>
            <w:r>
              <w:t>7.5 mg</w:t>
            </w:r>
          </w:p>
        </w:tc>
        <w:tc>
          <w:tcPr>
            <w:tcW w:type="dxa" w:w="960"/>
          </w:tcPr>
          <w:p>
            <w:r>
              <w:t>10 mg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Tirzepatide 15 mg QW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2.5 mg</w:t>
            </w:r>
          </w:p>
        </w:tc>
        <w:tc>
          <w:tcPr>
            <w:tcW w:type="dxa" w:w="960"/>
          </w:tcPr>
          <w:p>
            <w:r>
              <w:t>5 mg</w:t>
            </w:r>
          </w:p>
        </w:tc>
        <w:tc>
          <w:tcPr>
            <w:tcW w:type="dxa" w:w="960"/>
          </w:tcPr>
          <w:p>
            <w:r>
              <w:t>7.5 mg</w:t>
            </w:r>
          </w:p>
        </w:tc>
        <w:tc>
          <w:tcPr>
            <w:tcW w:type="dxa" w:w="960"/>
          </w:tcPr>
          <w:p>
            <w:r>
              <w:t>10 mg</w:t>
            </w:r>
          </w:p>
        </w:tc>
        <w:tc>
          <w:tcPr>
            <w:tcW w:type="dxa" w:w="960"/>
          </w:tcPr>
          <w:p>
            <w:r>
              <w:t>12.5 mg</w:t>
            </w:r>
          </w:p>
        </w:tc>
        <w:tc>
          <w:tcPr>
            <w:tcW w:type="dxa" w:w="960"/>
          </w:tcPr>
          <w:p>
            <w:r>
              <w:t>15 mg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Dulaglutide 0.75 mg QW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Dulaglutide 0.75 mg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 weeks</w:t>
              <w:br/>
              <w:t>or</w:t>
              <w:br/>
              <w:t>a</w:t>
              <w:br/>
              <w:t>8 weeks</w:t>
            </w:r>
          </w:p>
        </w:tc>
        <w:tc>
          <w:tcPr>
            <w:tcW w:type="dxa" w:w="960"/>
          </w:tcPr>
          <w:p>
            <w:r>
              <w:t>2 week</w:t>
            </w:r>
          </w:p>
        </w:tc>
        <w:tc>
          <w:tcPr>
            <w:tcW w:type="dxa" w:w="960"/>
          </w:tcPr>
          <w:p>
            <w:r>
              <w:t>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52 weeks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 weeks</w:t>
            </w:r>
          </w:p>
        </w:tc>
      </w:tr>
    </w:tbl>
    <w:p>
      <w:r>
        <w:rPr>
          <w:b/>
          <w:i w:val="0"/>
        </w:rPr>
        <w:t>Tirzepatide 5 mg QW</w:t>
      </w:r>
      <w:r>
        <w:rPr>
          <w:b w:val="0"/>
          <w:i w:val="0"/>
        </w:rPr>
        <w:t>2.5 mg</w:t>
      </w:r>
      <w:r>
        <w:rPr>
          <w:b w:val="0"/>
          <w:i w:val="0"/>
        </w:rPr>
        <w:t>5 mg</w:t>
      </w:r>
    </w:p>
    <w:p>
      <w:r>
        <w:rPr>
          <w:b w:val="0"/>
          <w:i w:val="0"/>
        </w:rPr>
        <w:t>Follow-up</w:t>
      </w:r>
    </w:p>
    <w:p>
      <w:r>
        <w:rPr>
          <w:b/>
          <w:i w:val="0"/>
        </w:rPr>
        <w:t>Tirzepatide 10 mg QW</w:t>
      </w:r>
      <w:r>
        <w:rPr>
          <w:b w:val="0"/>
          <w:i w:val="0"/>
        </w:rPr>
        <w:t>Lead-in</w:t>
      </w:r>
      <w:r>
        <w:rPr>
          <w:b w:val="0"/>
          <w:i w:val="0"/>
        </w:rPr>
        <w:t>2.5 mg</w:t>
      </w:r>
      <w:r>
        <w:rPr>
          <w:b w:val="0"/>
          <w:i w:val="0"/>
        </w:rPr>
        <w:t>5 mg</w:t>
      </w:r>
      <w:r>
        <w:rPr>
          <w:b w:val="0"/>
          <w:i w:val="0"/>
        </w:rPr>
        <w:t>7.5 mg</w:t>
      </w:r>
      <w:r>
        <w:rPr>
          <w:b w:val="0"/>
          <w:i w:val="0"/>
        </w:rPr>
        <w:t>10 mg</w:t>
      </w:r>
      <w:r>
        <w:rPr>
          <w:b w:val="0"/>
          <w:i w:val="0"/>
        </w:rPr>
        <w:t>Screening</w:t>
      </w:r>
      <w:r>
        <w:rPr>
          <w:b/>
          <w:i w:val="0"/>
        </w:rPr>
        <w:t>Tirzepatide 15 mg QW</w:t>
      </w:r>
      <w:r>
        <w:rPr>
          <w:b w:val="0"/>
          <w:i w:val="0"/>
        </w:rPr>
        <w:t>2.5 mg</w:t>
      </w:r>
      <w:r>
        <w:rPr>
          <w:b w:val="0"/>
          <w:i w:val="0"/>
        </w:rPr>
        <w:t>5 mg</w:t>
      </w:r>
      <w:r>
        <w:rPr>
          <w:b w:val="0"/>
          <w:i w:val="0"/>
        </w:rPr>
        <w:t>7.5 mg</w:t>
      </w:r>
      <w:r>
        <w:rPr>
          <w:b w:val="0"/>
          <w:i w:val="0"/>
        </w:rPr>
        <w:t xml:space="preserve"> 10 mg</w:t>
      </w:r>
      <w:r>
        <w:rPr>
          <w:b w:val="0"/>
          <w:i w:val="0"/>
        </w:rPr>
        <w:t>12.5 mg</w:t>
      </w:r>
      <w:r>
        <w:rPr>
          <w:b w:val="0"/>
          <w:i w:val="0"/>
        </w:rPr>
        <w:t>15 mg</w:t>
      </w:r>
      <w:r>
        <w:rPr>
          <w:b w:val="0"/>
          <w:i w:val="0"/>
        </w:rPr>
        <w:t xml:space="preserve">Washout </w:t>
      </w:r>
      <w:r>
        <w:rPr>
          <w:b w:val="0"/>
          <w:i w:val="0"/>
        </w:rPr>
        <w:t xml:space="preserve">OAM or </w:t>
      </w:r>
      <w:r>
        <w:rPr>
          <w:b w:val="0"/>
          <w:i w:val="0"/>
        </w:rPr>
        <w:t>D/E only</w:t>
      </w:r>
      <w:r>
        <w:rPr>
          <w:b/>
          <w:i w:val="0"/>
        </w:rPr>
        <w:t>Dulaglutide 0.75 mg QW</w:t>
      </w:r>
      <w:r>
        <w:rPr>
          <w:b w:val="0"/>
          <w:i w:val="0"/>
        </w:rPr>
        <w:t>Dulaglutide 0.75 mg</w:t>
      </w:r>
    </w:p>
    <w:p>
      <w:r>
        <w:rPr>
          <w:b w:val="0"/>
          <w:i w:val="0"/>
        </w:rPr>
        <w:t>2 weeks</w:t>
      </w:r>
      <w:r>
        <w:rPr>
          <w:b w:val="0"/>
          <w:i w:val="0"/>
        </w:rPr>
        <w:t>or</w:t>
      </w:r>
      <w:r>
        <w:rPr>
          <w:b w:val="0"/>
          <w:i w:val="0"/>
        </w:rPr>
        <w:t>2 weeks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