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8.1.3. Discontinuation of Inadvertently Enrolled Patients</w:t>
      </w:r>
    </w:p>
    <w:p>
      <w:r>
        <w:rPr>
          <w:b w:val="0"/>
          <w:i w:val="0"/>
        </w:rPr>
        <w:t xml:space="preserve">If the Sponsor or investigator identify a patient who did not meet enrollment criteria and was </w:t>
      </w:r>
      <w:r>
        <w:rPr>
          <w:b w:val="0"/>
          <w:i w:val="0"/>
        </w:rPr>
        <w:t xml:space="preserve">inadvertently enrolled, then the patient should be discontinued from study treatment, unless there </w:t>
      </w:r>
      <w:r>
        <w:rPr>
          <w:b w:val="0"/>
          <w:i w:val="0"/>
        </w:rPr>
        <w:t xml:space="preserve">are extenuating circumstances that make it medically necessary for the patient to continue on </w:t>
      </w:r>
      <w:r>
        <w:rPr>
          <w:b w:val="0"/>
          <w:i w:val="0"/>
        </w:rPr>
        <w:t xml:space="preserve">study treatment.  If the investigator and the Sponsor CRP/CRS agree it is medically appropriate </w:t>
      </w:r>
      <w:r>
        <w:rPr>
          <w:b w:val="0"/>
          <w:i w:val="0"/>
        </w:rPr>
        <w:t xml:space="preserve">to continue, the investigator must obtain documented approval from the Sponsor CRP/CRS to </w:t>
      </w:r>
      <w:r>
        <w:rPr>
          <w:b w:val="0"/>
          <w:i w:val="0"/>
        </w:rPr>
        <w:t xml:space="preserve">allow the inadvertently enrolled patient to continue in the study with or without treatment with </w:t>
      </w:r>
      <w:r>
        <w:rPr>
          <w:b w:val="0"/>
          <w:i w:val="0"/>
        </w:rPr>
        <w:t>investigational product. Safety follow up is as outlined in Section</w:t>
      </w:r>
      <w:r>
        <w:rPr>
          <w:b w:val="0"/>
          <w:i w:val="0"/>
        </w:rPr>
        <w:t xml:space="preserve"> 2</w:t>
      </w:r>
      <w:r>
        <w:rPr>
          <w:b w:val="0"/>
          <w:i w:val="0"/>
        </w:rPr>
        <w:t xml:space="preserve"> (Schedule of Activities), </w:t>
      </w:r>
      <w:r>
        <w:rPr>
          <w:b w:val="0"/>
          <w:i w:val="0"/>
        </w:rPr>
        <w:t>Section</w:t>
      </w:r>
      <w:r>
        <w:rPr>
          <w:b w:val="0"/>
          <w:i w:val="0"/>
        </w:rPr>
        <w:t xml:space="preserve"> 9.2</w:t>
      </w:r>
      <w:r>
        <w:rPr>
          <w:b w:val="0"/>
          <w:i w:val="0"/>
        </w:rPr>
        <w:t xml:space="preserve"> (Adverse Events), and Section</w:t>
      </w:r>
      <w:r>
        <w:rPr>
          <w:b w:val="0"/>
          <w:i w:val="0"/>
        </w:rPr>
        <w:t xml:space="preserve"> 9.4</w:t>
      </w:r>
      <w:r>
        <w:rPr>
          <w:b w:val="0"/>
          <w:i w:val="0"/>
        </w:rPr>
        <w:t xml:space="preserve"> (Safety) of the protocol.</w:t>
      </w:r>
    </w:p>
    <w:p>
      <w:r>
        <w:rPr>
          <w:b/>
        </w:rPr>
        <w:t>8.2.</w:t>
      </w:r>
    </w:p>
    <w:p>
      <w:r>
        <w:rPr>
          <w:b/>
        </w:rPr>
        <w:t>Discontinuation from the Study</w:t>
      </w:r>
    </w:p>
    <w:p>
      <w:r>
        <w:rPr>
          <w:b w:val="0"/>
          <w:i w:val="0"/>
        </w:rPr>
        <w:t xml:space="preserve">In order to minimize the amount of missing data and to enable assessment of study objectives, as </w:t>
      </w:r>
      <w:r>
        <w:rPr>
          <w:b w:val="0"/>
          <w:i w:val="0"/>
        </w:rPr>
        <w:t>planned in the study protocol, every attempt will be made to keep patients in the study,</w:t>
      </w:r>
      <w:r>
        <w:rPr>
          <w:b w:val="0"/>
          <w:i w:val="0"/>
        </w:rPr>
        <w:t>irrespective of the following: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adherence to investigational product</w:t>
      </w:r>
      <w:r>
        <w:rPr>
          <w:b w:val="0"/>
          <w:i w:val="0"/>
        </w:rPr>
        <w:t></w:t>
      </w:r>
      <w:r>
        <w:rPr>
          <w:b w:val="0"/>
          <w:i w:val="0"/>
        </w:rPr>
        <w:t>adherence to visit schedule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missing assessments</w:t>
      </w:r>
      <w:r>
        <w:rPr>
          <w:b w:val="0"/>
          <w:i w:val="0"/>
        </w:rPr>
        <w:t></w:t>
      </w:r>
      <w:r>
        <w:rPr>
          <w:b w:val="0"/>
          <w:i w:val="0"/>
        </w:rPr>
        <w:t>investigational product discontinuation due to AE (Section</w:t>
      </w:r>
      <w:r>
        <w:rPr>
          <w:b w:val="0"/>
          <w:i w:val="0"/>
        </w:rPr>
        <w:t xml:space="preserve"> 8.1.1</w:t>
      </w:r>
      <w:r>
        <w:rPr>
          <w:b w:val="0"/>
          <w:i w:val="0"/>
        </w:rPr>
        <w:t>)</w:t>
      </w:r>
      <w:r>
        <w:rPr>
          <w:b w:val="0"/>
          <w:i w:val="0"/>
        </w:rPr>
        <w:t></w:t>
      </w:r>
      <w:r>
        <w:rPr>
          <w:b w:val="0"/>
          <w:i w:val="0"/>
        </w:rPr>
        <w:t>development of comorbidities</w:t>
      </w:r>
      <w:r>
        <w:rPr>
          <w:b w:val="0"/>
          <w:i w:val="0"/>
        </w:rPr>
        <w:t></w:t>
      </w:r>
      <w:r>
        <w:rPr>
          <w:b w:val="0"/>
          <w:i w:val="0"/>
        </w:rPr>
        <w:t>development of clinical outcomes</w:t>
      </w:r>
    </w:p>
    <w:p>
      <w:r>
        <w:rPr>
          <w:b w:val="0"/>
          <w:i w:val="0"/>
        </w:rPr>
        <w:t xml:space="preserve">The circumstances listed above are not valid reasons for discontinuation from the study. </w:t>
      </w:r>
      <w:r>
        <w:rPr>
          <w:b w:val="0"/>
          <w:i w:val="0"/>
        </w:rPr>
        <w:t>Patients will be discontinued in the following circumstances: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enrollment in any other clinical study involving an investigational product or </w:t>
      </w:r>
      <w:r>
        <w:rPr>
          <w:b w:val="0"/>
          <w:i w:val="0"/>
        </w:rPr>
        <w:t xml:space="preserve">enrollment in any other type of medical research judged not to be scientifically or </w:t>
      </w:r>
      <w:r>
        <w:rPr>
          <w:b w:val="0"/>
          <w:i w:val="0"/>
        </w:rPr>
        <w:t>medically compatible with this study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participation in the study needs to be stopped for medical, safety, regulatory, or </w:t>
      </w:r>
      <w:r>
        <w:rPr>
          <w:b w:val="0"/>
          <w:i w:val="0"/>
        </w:rPr>
        <w:t xml:space="preserve">other reasons consistent with applicable laws, regulations, and good clinical </w:t>
      </w:r>
      <w:r>
        <w:rPr>
          <w:b w:val="0"/>
          <w:i w:val="0"/>
        </w:rPr>
        <w:t>practice (GCP)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if a female patient becomes pregnant </w:t>
      </w:r>
      <w:r>
        <w:rPr>
          <w:b w:val="0"/>
          <w:i w:val="0"/>
        </w:rPr>
        <w:t></w:t>
      </w:r>
      <w:r>
        <w:rPr>
          <w:b w:val="0"/>
          <w:i w:val="0"/>
        </w:rPr>
        <w:t>if a patient is diagnosed with T1DM</w:t>
      </w:r>
      <w:r>
        <w:rPr>
          <w:b w:val="0"/>
          <w:i w:val="0"/>
        </w:rPr>
        <w:t></w:t>
      </w:r>
      <w:r>
        <w:rPr>
          <w:b w:val="0"/>
          <w:i w:val="0"/>
        </w:rPr>
        <w:t>investigator decision</w:t>
      </w:r>
      <w:r>
        <w:rPr>
          <w:b w:val="0"/>
          <w:i w:val="0"/>
        </w:rPr>
        <w:t>o</w:t>
      </w:r>
      <w:r>
        <w:rPr>
          <w:b w:val="0"/>
          <w:i w:val="0"/>
        </w:rPr>
        <w:t>the investigator decides that the patient should be discontinued from the study</w:t>
      </w:r>
      <w:r>
        <w:rPr>
          <w:b w:val="0"/>
          <w:i w:val="0"/>
        </w:rPr>
        <w:t></w:t>
      </w:r>
      <w:r>
        <w:rPr>
          <w:b w:val="0"/>
          <w:i w:val="0"/>
        </w:rPr>
        <w:t>patient decision</w:t>
      </w:r>
      <w:r>
        <w:rPr>
          <w:b w:val="0"/>
          <w:i w:val="0"/>
        </w:rPr>
        <w:t>o</w:t>
      </w:r>
      <w:r>
        <w:rPr>
          <w:b w:val="0"/>
          <w:i w:val="0"/>
        </w:rPr>
        <w:t>the patient requests to be withdrawn from the study</w:t>
      </w:r>
    </w:p>
    <w:p>
      <w:r>
        <w:rPr>
          <w:b w:val="0"/>
          <w:i w:val="0"/>
        </w:rPr>
        <w:t xml:space="preserve">Patients who agree to provide information relevant to any trial endpoint at the end of the study </w:t>
      </w:r>
      <w:r>
        <w:rPr>
          <w:b w:val="0"/>
          <w:i w:val="0"/>
        </w:rPr>
        <w:t>are not considered to have discontinued from the study.</w:t>
      </w:r>
    </w:p>
    <w:p>
      <w:r>
        <w:rPr>
          <w:b w:val="0"/>
          <w:i w:val="0"/>
        </w:rPr>
        <w:t xml:space="preserve">A patient who withdraws consent and clearly indicates that there will be no further contact of any </w:t>
      </w:r>
      <w:r>
        <w:rPr>
          <w:b w:val="0"/>
          <w:i w:val="0"/>
        </w:rPr>
        <w:t>kind with the site will be considered to have discontinued from the study.</w:t>
      </w:r>
    </w:p>
    <w:p>
      <w:r>
        <w:rPr>
          <w:b w:val="0"/>
          <w:i w:val="0"/>
        </w:rPr>
        <w:t xml:space="preserve">Prior to early study discontinuation, the patient will discontinue investigational product and will </w:t>
      </w:r>
      <w:r>
        <w:rPr>
          <w:b w:val="0"/>
          <w:i w:val="0"/>
        </w:rPr>
        <w:t xml:space="preserve">have end-of-study procedures (early termination [ET] visit) performed as shown in the Schedule </w:t>
      </w:r>
      <w:r>
        <w:rPr>
          <w:b w:val="0"/>
          <w:i w:val="0"/>
        </w:rPr>
        <w:t>of Activities (Section</w:t>
      </w:r>
      <w:r>
        <w:rPr>
          <w:b w:val="0"/>
          <w:i w:val="0"/>
        </w:rPr>
        <w:t xml:space="preserve"> 2</w:t>
      </w:r>
      <w:r>
        <w:rPr>
          <w:b w:val="0"/>
          <w:i w:val="0"/>
        </w:rPr>
        <w:t xml:space="preserve">).  During the ET visit, the patient will be prescribed an appropriate </w:t>
      </w:r>
      <w:r>
        <w:rPr>
          <w:b w:val="0"/>
          <w:i w:val="0"/>
        </w:rPr>
        <w:t xml:space="preserve">antihyperglycemic medication and glucose self-monitoring plan. Visit 801 (safety follow-up </w:t>
      </w:r>
      <w:r>
        <w:rPr>
          <w:b w:val="0"/>
          <w:i w:val="0"/>
        </w:rPr>
        <w:t>visit) should be performed approximately 4 weeks after the ET visit as the final study visit.</w:t>
      </w:r>
    </w:p>
    <w:p>
      <w:r>
        <w:rPr>
          <w:b w:val="0"/>
          <w:i w:val="0"/>
        </w:rPr>
        <w:t xml:space="preserve">Patients discontinuing from the study prematurely for any reason should complete adverse event </w:t>
      </w:r>
      <w:r>
        <w:rPr>
          <w:b w:val="0"/>
          <w:i w:val="0"/>
        </w:rPr>
        <w:t>and other safety follow-up per Section</w:t>
      </w:r>
      <w:r>
        <w:rPr>
          <w:b w:val="0"/>
          <w:i w:val="0"/>
        </w:rPr>
        <w:t xml:space="preserve"> 2</w:t>
      </w:r>
      <w:r>
        <w:rPr>
          <w:b w:val="0"/>
          <w:i w:val="0"/>
        </w:rPr>
        <w:t xml:space="preserve"> (Schedule of Activities), Section</w:t>
      </w:r>
      <w:r>
        <w:rPr>
          <w:b w:val="0"/>
          <w:i w:val="0"/>
        </w:rPr>
        <w:t xml:space="preserve"> 9.2</w:t>
      </w:r>
      <w:r>
        <w:rPr>
          <w:b w:val="0"/>
          <w:i w:val="0"/>
        </w:rPr>
        <w:t xml:space="preserve"> (Adverse Events),</w:t>
      </w:r>
      <w:r>
        <w:rPr>
          <w:b w:val="0"/>
          <w:i w:val="0"/>
        </w:rPr>
        <w:t>and Section</w:t>
      </w:r>
      <w:r>
        <w:rPr>
          <w:b w:val="0"/>
          <w:i w:val="0"/>
        </w:rPr>
        <w:t xml:space="preserve"> 9.4</w:t>
      </w:r>
      <w:r>
        <w:rPr>
          <w:b w:val="0"/>
          <w:i w:val="0"/>
        </w:rPr>
        <w:t xml:space="preserve"> (Safety) of this protocol.</w:t>
      </w:r>
    </w:p>
    <w:p>
      <w:r>
        <w:rPr>
          <w:b/>
        </w:rPr>
        <w:t>8.3.</w:t>
      </w:r>
    </w:p>
    <w:p>
      <w:r>
        <w:rPr>
          <w:b/>
        </w:rPr>
        <w:t>Lost to Follow-Up</w:t>
      </w:r>
    </w:p>
    <w:p>
      <w:r>
        <w:rPr>
          <w:b w:val="0"/>
          <w:i w:val="0"/>
        </w:rPr>
        <w:t xml:space="preserve">A patient will be considered lost to follow-up if he/she repeatedly fails to return for scheduled </w:t>
      </w:r>
      <w:r>
        <w:rPr>
          <w:b w:val="0"/>
          <w:i w:val="0"/>
        </w:rPr>
        <w:t xml:space="preserve">visits and is unable to be contacted by the study site.  Every attempt will be made to minimize </w:t>
      </w:r>
      <w:r>
        <w:rPr>
          <w:b w:val="0"/>
          <w:i w:val="0"/>
        </w:rPr>
        <w:t xml:space="preserve">the number of patients considered lost to follow-up at the end of the study.  Patients will be </w:t>
      </w:r>
      <w:r>
        <w:rPr>
          <w:b w:val="0"/>
          <w:i w:val="0"/>
        </w:rPr>
        <w:t xml:space="preserve">informed about the importance of completing the study and providing updated contact </w:t>
      </w:r>
      <w:r>
        <w:rPr>
          <w:b w:val="0"/>
          <w:i w:val="0"/>
        </w:rPr>
        <w:t>information to the study site, when necessary.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p>
      <w:r>
        <w:rPr>
          <w:b/>
        </w:rPr>
        <w:t>9.</w:t>
      </w:r>
    </w:p>
    <w:p>
      <w:r>
        <w:rPr>
          <w:b/>
        </w:rPr>
        <w:t>Study Assessments and Procedures</w:t>
      </w:r>
    </w:p>
    <w:p>
      <w:r>
        <w:rPr>
          <w:b w:val="0"/>
          <w:i w:val="0"/>
        </w:rPr>
        <w:t>Section</w:t>
      </w:r>
      <w:r>
        <w:rPr>
          <w:b w:val="0"/>
          <w:i w:val="0"/>
        </w:rPr>
        <w:t xml:space="preserve"> 2</w:t>
      </w:r>
      <w:r>
        <w:rPr>
          <w:b w:val="0"/>
          <w:i w:val="0"/>
        </w:rPr>
        <w:t xml:space="preserve"> lists the Schedule of Activities, with the study procedures and their timing (including </w:t>
      </w:r>
      <w:r>
        <w:rPr>
          <w:b w:val="0"/>
          <w:i w:val="0"/>
        </w:rPr>
        <w:t>tolerance limits for timing).</w:t>
      </w:r>
    </w:p>
    <w:p>
      <w:r>
        <w:rPr>
          <w:b w:val="0"/>
          <w:i w:val="0"/>
        </w:rPr>
        <w:t>Appendix 2</w:t>
      </w:r>
      <w:r>
        <w:rPr>
          <w:b w:val="0"/>
          <w:i w:val="0"/>
        </w:rPr>
        <w:t xml:space="preserve"> lists the laboratory tests that will be performed for this study.</w:t>
      </w:r>
    </w:p>
    <w:p>
      <w:r>
        <w:rPr>
          <w:b w:val="0"/>
          <w:i w:val="0"/>
        </w:rPr>
        <w:t xml:space="preserve">Unless otherwise stated in the subsections below, all samples collected for specified laboratory </w:t>
      </w:r>
      <w:r>
        <w:rPr>
          <w:b w:val="0"/>
          <w:i w:val="0"/>
        </w:rPr>
        <w:t xml:space="preserve">tests will be destroyed within 60 days of receipt of confirmed test results.  Certain samples may </w:t>
      </w:r>
      <w:r>
        <w:rPr>
          <w:b w:val="0"/>
          <w:i w:val="0"/>
        </w:rPr>
        <w:t xml:space="preserve">be retained for a longer period, if necessary, to comply with applicable laws, regulations, or </w:t>
      </w:r>
      <w:r>
        <w:rPr>
          <w:b w:val="0"/>
          <w:i w:val="0"/>
        </w:rPr>
        <w:t>laboratory certification standards.</w:t>
      </w:r>
    </w:p>
    <w:p>
      <w:r>
        <w:rPr>
          <w:b/>
        </w:rPr>
        <w:t>9.1.</w:t>
      </w:r>
    </w:p>
    <w:p>
      <w:r>
        <w:rPr>
          <w:b/>
        </w:rPr>
        <w:t>Efficacy Assessments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