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9.4.</w:t>
      </w:r>
    </w:p>
    <w:p>
      <w:r>
        <w:rPr>
          <w:b/>
        </w:rPr>
        <w:t>Safety</w:t>
      </w:r>
    </w:p>
    <w:p>
      <w:pPr>
        <w:pStyle w:val="Heading3"/>
      </w:pPr>
      <w:r>
        <w:t>9.4.1. Electrocardiograms</w:t>
      </w:r>
    </w:p>
    <w:p>
      <w:r>
        <w:rPr>
          <w:b w:val="0"/>
          <w:i w:val="0"/>
        </w:rPr>
        <w:t>For each patient, ECGs should be collected, according to the Schedule of Activities (Section</w:t>
      </w:r>
      <w:r>
        <w:rPr>
          <w:b w:val="0"/>
          <w:i w:val="0"/>
        </w:rPr>
        <w:t xml:space="preserve"> 2</w:t>
      </w:r>
      <w:r>
        <w:rPr>
          <w:b w:val="0"/>
          <w:i w:val="0"/>
        </w:rPr>
        <w:t xml:space="preserve">).  </w:t>
      </w:r>
      <w:r>
        <w:rPr>
          <w:b w:val="0"/>
          <w:i w:val="0"/>
        </w:rPr>
        <w:t xml:space="preserve">Electrocardiograms should be recorded according to the study-specific recommendations </w:t>
      </w:r>
      <w:r>
        <w:rPr>
          <w:b w:val="0"/>
          <w:i w:val="0"/>
        </w:rPr>
        <w:t xml:space="preserve">included in the Manual of Operations for the study.  </w:t>
      </w:r>
    </w:p>
    <w:p>
      <w:r>
        <w:rPr>
          <w:b w:val="0"/>
          <w:i w:val="0"/>
        </w:rPr>
        <w:t xml:space="preserve">Electrocardiograms will initially be interpreted by a qualified physician (the investigator or </w:t>
      </w:r>
      <w:r>
        <w:rPr>
          <w:b w:val="0"/>
          <w:i w:val="0"/>
        </w:rPr>
        <w:t>qualified designee) at the site as soon after the time of ECG collection as possible, and, ideally,</w:t>
      </w:r>
      <w:r>
        <w:rPr>
          <w:b w:val="0"/>
          <w:i w:val="0"/>
        </w:rPr>
        <w:t xml:space="preserve">while the patient is still present, for immediate subject management, should any clinically </w:t>
      </w:r>
      <w:r>
        <w:rPr>
          <w:b w:val="0"/>
          <w:i w:val="0"/>
        </w:rPr>
        <w:t xml:space="preserve">relevant findings be identified.  Any clinically significant findings from ECGs that result in a </w:t>
      </w:r>
      <w:r>
        <w:rPr>
          <w:b w:val="0"/>
          <w:i w:val="0"/>
        </w:rPr>
        <w:t xml:space="preserve">diagnosis and that occur after the patient receives the first dose of the investigational treatment </w:t>
      </w:r>
      <w:r>
        <w:rPr>
          <w:b w:val="0"/>
          <w:i w:val="0"/>
        </w:rPr>
        <w:t>should be reported to Lilly or its designee as an AE via the eCRF.</w:t>
      </w:r>
    </w:p>
    <w:p>
      <w:r>
        <w:rPr>
          <w:b w:val="0"/>
          <w:i w:val="0"/>
        </w:rPr>
        <w:t>LY3298176</w:t>
      </w:r>
    </w:p>
    <w:p>
      <w:r>
        <w:rPr>
          <w:b/>
        </w:rPr>
        <w:t>I8F-JE-GPGO(a) Clinical Protocol</w:t>
      </w:r>
    </w:p>
    <w:p>
      <w:r>
        <w:rPr>
          <w:b w:val="0"/>
          <w:i w:val="0"/>
        </w:rPr>
        <w:t xml:space="preserve">All digital ECGs will be obtained using centrally provided ECG machines and will be </w:t>
      </w:r>
      <w:r>
        <w:rPr>
          <w:b w:val="0"/>
          <w:i w:val="0"/>
        </w:rPr>
        <w:t xml:space="preserve">electronically transmitted to a designated central ECG laboratory except for the screening ECG </w:t>
      </w:r>
      <w:r>
        <w:rPr>
          <w:b w:val="0"/>
          <w:i w:val="0"/>
        </w:rPr>
        <w:t xml:space="preserve">which will be performed by a local laboratory.  The central ECG laboratory will perform a basic </w:t>
      </w:r>
      <w:r>
        <w:rPr>
          <w:b w:val="0"/>
          <w:i w:val="0"/>
        </w:rPr>
        <w:t xml:space="preserve">quality control check (eg, demographics and study details) and then store the ECGs in a </w:t>
      </w:r>
      <w:r>
        <w:rPr>
          <w:b w:val="0"/>
          <w:i w:val="0"/>
        </w:rPr>
        <w:t xml:space="preserve">database.  At a future time, the stored ECG data may be overread by a cardiologist at the central </w:t>
      </w:r>
      <w:r>
        <w:rPr>
          <w:b w:val="0"/>
          <w:i w:val="0"/>
        </w:rPr>
        <w:t xml:space="preserve">ECG laboratory for further evaluation of machine-read measurements or to meet regulatory </w:t>
      </w:r>
      <w:r>
        <w:rPr>
          <w:b w:val="0"/>
          <w:i w:val="0"/>
        </w:rPr>
        <w:t xml:space="preserve">requirements.  The machine-read ECG intervals and heart rate may be used for data analysis and </w:t>
      </w:r>
      <w:r>
        <w:rPr>
          <w:b w:val="0"/>
          <w:i w:val="0"/>
        </w:rPr>
        <w:t xml:space="preserve">report-writing purposes, unless a cardiologist overreading of the ECGs is conducted prior to </w:t>
      </w:r>
      <w:r>
        <w:rPr>
          <w:b w:val="0"/>
          <w:i w:val="0"/>
        </w:rPr>
        <w:t xml:space="preserve">completion of the final study report (in which case, the overread data would be used).  </w:t>
      </w:r>
    </w:p>
    <w:p>
      <w:pPr>
        <w:pStyle w:val="Heading3"/>
      </w:pPr>
      <w:r>
        <w:t>9.4.2. Vital Signs</w:t>
      </w:r>
    </w:p>
    <w:p>
      <w:r>
        <w:rPr>
          <w:b w:val="0"/>
          <w:i w:val="0"/>
        </w:rPr>
        <w:t xml:space="preserve">For each patient, vital signs measurements (systolic blood pressure, diastolic blood pressure, and </w:t>
      </w:r>
      <w:r>
        <w:rPr>
          <w:b w:val="0"/>
          <w:i w:val="0"/>
        </w:rPr>
        <w:t xml:space="preserve">heart rate), height, weight, and waist circumference, should be conducted according to the </w:t>
      </w:r>
      <w:r>
        <w:rPr>
          <w:b w:val="0"/>
          <w:i w:val="0"/>
        </w:rPr>
        <w:t>Schedule of Activities (Section</w:t>
      </w:r>
      <w:r>
        <w:rPr>
          <w:b w:val="0"/>
          <w:i w:val="0"/>
        </w:rPr>
        <w:t xml:space="preserve"> 2</w:t>
      </w:r>
      <w:r>
        <w:rPr>
          <w:b w:val="0"/>
          <w:i w:val="0"/>
        </w:rPr>
        <w:t xml:space="preserve">) and following the study-specific recommendations included in </w:t>
      </w:r>
      <w:r>
        <w:rPr>
          <w:b w:val="0"/>
          <w:i w:val="0"/>
        </w:rPr>
        <w:t>the Manual of Operations for the study.</w:t>
      </w:r>
    </w:p>
    <w:p>
      <w:r>
        <w:rPr>
          <w:b w:val="0"/>
          <w:i w:val="0"/>
        </w:rPr>
        <w:t xml:space="preserve">Any clinically significant findings from vital signs measurement that result in a diagnosis and </w:t>
      </w:r>
      <w:r>
        <w:rPr>
          <w:b w:val="0"/>
          <w:i w:val="0"/>
        </w:rPr>
        <w:t xml:space="preserve">that occur after the patient receives the first dose of study treatment should be reported to Lilly or </w:t>
      </w:r>
      <w:r>
        <w:rPr>
          <w:b w:val="0"/>
          <w:i w:val="0"/>
        </w:rPr>
        <w:t>its designee as an AE via the eCRF.</w:t>
      </w:r>
    </w:p>
    <w:p>
      <w:pPr>
        <w:pStyle w:val="Heading3"/>
      </w:pPr>
      <w:r>
        <w:t>9.4.3. Laboratory Tests</w:t>
      </w:r>
    </w:p>
    <w:p>
      <w:r>
        <w:rPr>
          <w:b w:val="0"/>
          <w:i w:val="0"/>
        </w:rPr>
        <w:t xml:space="preserve">For each patient, laboratory tests detailed in </w:t>
      </w:r>
      <w:r>
        <w:rPr>
          <w:b w:val="0"/>
          <w:i w:val="0"/>
        </w:rPr>
        <w:t>Appendix 2</w:t>
      </w:r>
      <w:r>
        <w:rPr>
          <w:b w:val="0"/>
          <w:i w:val="0"/>
        </w:rPr>
        <w:t xml:space="preserve"> should be conducted according to the </w:t>
      </w:r>
      <w:r>
        <w:rPr>
          <w:b w:val="0"/>
          <w:i w:val="0"/>
        </w:rPr>
        <w:t>Schedule of Activities (Section</w:t>
      </w:r>
      <w:r>
        <w:rPr>
          <w:b w:val="0"/>
          <w:i w:val="0"/>
        </w:rPr>
        <w:t xml:space="preserve"> 2</w:t>
      </w:r>
      <w:r>
        <w:rPr>
          <w:b w:val="0"/>
          <w:i w:val="0"/>
        </w:rPr>
        <w:t xml:space="preserve">). </w:t>
      </w:r>
    </w:p>
    <w:p>
      <w:r>
        <w:rPr>
          <w:b w:val="0"/>
          <w:i w:val="0"/>
        </w:rPr>
        <w:t xml:space="preserve">With the exception of laboratory test results that may unblind the study, Lilly or its designee will </w:t>
      </w:r>
      <w:r>
        <w:rPr>
          <w:b w:val="0"/>
          <w:i w:val="0"/>
        </w:rPr>
        <w:t xml:space="preserve">provide the investigator with the results of laboratory tests analyzed by a central vendor, if a </w:t>
      </w:r>
      <w:r>
        <w:rPr>
          <w:b w:val="0"/>
          <w:i w:val="0"/>
        </w:rPr>
        <w:t xml:space="preserve">central vendor is used for the clinical trial.  </w:t>
      </w:r>
    </w:p>
    <w:p>
      <w:r>
        <w:rPr>
          <w:b w:val="0"/>
          <w:i w:val="0"/>
        </w:rPr>
        <w:t xml:space="preserve">Any clinically significant findings from laboratory tests that result in a diagnosis and that occur </w:t>
      </w:r>
      <w:r>
        <w:rPr>
          <w:b w:val="0"/>
          <w:i w:val="0"/>
        </w:rPr>
        <w:t xml:space="preserve">after the patient receives the first dose of investigational product should be reported to Lilly or its </w:t>
      </w:r>
      <w:r>
        <w:rPr>
          <w:b w:val="0"/>
          <w:i w:val="0"/>
        </w:rPr>
        <w:t>designee as an AE via eCRF.</w:t>
      </w:r>
    </w:p>
    <w:p>
      <w:pPr>
        <w:pStyle w:val="Heading3"/>
      </w:pPr>
      <w:r>
        <w:t>9.4.4. Immunogenicity Assessments</w:t>
      </w:r>
    </w:p>
    <w:p>
      <w:r>
        <w:rPr>
          <w:b w:val="0"/>
          <w:i w:val="0"/>
        </w:rPr>
        <w:t xml:space="preserve">Where local regulations and ERBs allow, blood samples for immunogenicity testing will be </w:t>
      </w:r>
      <w:r>
        <w:rPr>
          <w:b w:val="0"/>
          <w:i w:val="0"/>
        </w:rPr>
        <w:t xml:space="preserve">collected to determine antibody production against tirzepatide as specified in the Schedule of </w:t>
      </w:r>
      <w:r>
        <w:rPr>
          <w:b w:val="0"/>
          <w:i w:val="0"/>
        </w:rPr>
        <w:t>Activities (Section</w:t>
      </w:r>
      <w:r>
        <w:rPr>
          <w:b w:val="0"/>
          <w:i w:val="0"/>
        </w:rPr>
        <w:t xml:space="preserve"> 2</w:t>
      </w:r>
      <w:r>
        <w:rPr>
          <w:b w:val="0"/>
          <w:i w:val="0"/>
        </w:rPr>
        <w:t xml:space="preserve">).  </w:t>
      </w:r>
    </w:p>
    <w:p>
      <w:r>
        <w:rPr>
          <w:b w:val="0"/>
          <w:i w:val="0"/>
        </w:rPr>
        <w:t>At the visits and times specified in the Schedule of Activities (Section</w:t>
      </w:r>
      <w:r>
        <w:rPr>
          <w:b w:val="0"/>
          <w:i w:val="0"/>
        </w:rPr>
        <w:t xml:space="preserve"> 2</w:t>
      </w:r>
      <w:r>
        <w:rPr>
          <w:b w:val="0"/>
          <w:i w:val="0"/>
        </w:rPr>
        <w:t xml:space="preserve">), venous blood samples </w:t>
      </w:r>
      <w:r>
        <w:rPr>
          <w:b w:val="0"/>
          <w:i w:val="0"/>
        </w:rPr>
        <w:t xml:space="preserve">will be collected to determine antibody production against tirzepatide.  To interpret the results of </w:t>
      </w:r>
      <w:r>
        <w:rPr>
          <w:b w:val="0"/>
          <w:i w:val="0"/>
        </w:rPr>
        <w:t xml:space="preserve">immunogenicity, a PK sample will be collected at the same time points as the immunogenicity </w:t>
      </w:r>
      <w:r>
        <w:rPr>
          <w:b w:val="0"/>
          <w:i w:val="0"/>
        </w:rPr>
        <w:t xml:space="preserve">sample. All samples for immunogenicity should be taken predose, when applicable and possible. </w:t>
      </w:r>
      <w:r>
        <w:rPr>
          <w:b w:val="0"/>
          <w:i w:val="0"/>
        </w:rPr>
        <w:t xml:space="preserve">In the event of drug hypersensitivity reactions (immediate or nonimmediate), additional samples </w:t>
      </w:r>
      <w:r>
        <w:rPr>
          <w:b w:val="0"/>
          <w:i w:val="0"/>
        </w:rPr>
        <w:t xml:space="preserve">will be collected (including ADAs, PK, and, exploratory immune safety sample), as close to the </w:t>
      </w:r>
      <w:r>
        <w:rPr>
          <w:b w:val="0"/>
          <w:i w:val="0"/>
        </w:rPr>
        <w:t xml:space="preserve">onset of the event as possible, at the resolution of the event, and 30 days following the event.  </w:t>
      </w:r>
      <w:r>
        <w:rPr>
          <w:b w:val="0"/>
          <w:i w:val="0"/>
        </w:rPr>
        <w:t xml:space="preserve">Instructions for the collection and handling of blood samples will be provided by the Sponsor.  </w:t>
      </w:r>
    </w:p>
    <w:p>
      <w:r>
        <w:rPr>
          <w:b w:val="0"/>
          <w:i w:val="0"/>
        </w:rPr>
        <w:t>LY3298176</w:t>
      </w:r>
    </w:p>
    <w:p>
      <w:r>
        <w:rPr>
          <w:b/>
        </w:rPr>
        <w:t>I8F-JE-GPGO(a) Clinical Protocol</w:t>
      </w:r>
    </w:p>
    <w:p>
      <w:r>
        <w:rPr>
          <w:b w:val="0"/>
          <w:i w:val="0"/>
        </w:rPr>
        <w:t xml:space="preserve">The actual date and time (24-hour clock time) of each sampling will be recorded.  </w:t>
      </w:r>
      <w:r>
        <w:rPr>
          <w:b w:val="0"/>
          <w:i w:val="0"/>
        </w:rPr>
        <w:t xml:space="preserve">Immunogenicity will be assessed by a validated assay designed to detect ADAs in the presence </w:t>
      </w:r>
      <w:r>
        <w:rPr>
          <w:b w:val="0"/>
          <w:i w:val="0"/>
        </w:rPr>
        <w:t xml:space="preserve">of the tirzepatide at a laboratory approved by the Sponsor.  Samples collected at Visit 801 will </w:t>
      </w:r>
      <w:r>
        <w:rPr>
          <w:b w:val="0"/>
          <w:i w:val="0"/>
        </w:rPr>
        <w:t>assess immunogenicity at washout of tirzepatide (5 half-lives post-end of treatment).</w:t>
      </w:r>
    </w:p>
    <w:p>
      <w:r>
        <w:rPr>
          <w:b w:val="0"/>
          <w:i w:val="0"/>
        </w:rPr>
        <w:t>Treatment-emergent ADAs are defined in Section</w:t>
      </w:r>
      <w:r>
        <w:rPr>
          <w:b w:val="0"/>
          <w:i w:val="0"/>
        </w:rPr>
        <w:t xml:space="preserve"> 10.3.5</w:t>
      </w:r>
      <w:r>
        <w:rPr>
          <w:b w:val="0"/>
          <w:i w:val="0"/>
        </w:rPr>
        <w:t xml:space="preserve">.  </w:t>
      </w:r>
    </w:p>
    <w:p>
      <w:r>
        <w:rPr>
          <w:b w:val="0"/>
          <w:i w:val="0"/>
        </w:rPr>
        <w:t xml:space="preserve">Samples with tirzepatide ADAs detected will be titered and evaluated for their ability to </w:t>
      </w:r>
      <w:r>
        <w:rPr>
          <w:b w:val="0"/>
          <w:i w:val="0"/>
        </w:rPr>
        <w:t xml:space="preserve">neutralize the activity of assigned treatment (tirzepatide-neutralizing antibodies).  Samples with </w:t>
      </w:r>
      <w:r>
        <w:rPr>
          <w:b w:val="0"/>
          <w:i w:val="0"/>
        </w:rPr>
        <w:t xml:space="preserve">tirzepatide ADAs detected will also be tested for cross-reactive binding to native GIP and </w:t>
      </w:r>
      <w:r>
        <w:rPr>
          <w:b w:val="0"/>
          <w:i w:val="0"/>
        </w:rPr>
        <w:t xml:space="preserve">GLP-1, and, if such is detected, then, for neutralizing antibodies against native GIP and GLP-1, </w:t>
      </w:r>
      <w:r>
        <w:rPr>
          <w:b w:val="0"/>
          <w:i w:val="0"/>
        </w:rPr>
        <w:t>respectively.</w:t>
      </w:r>
    </w:p>
    <w:p>
      <w:r>
        <w:rPr>
          <w:b w:val="0"/>
          <w:i w:val="0"/>
        </w:rPr>
        <w:t xml:space="preserve">Samples will be retained for a maximum of 15 years after the last patient visit, or for a shorter </w:t>
      </w:r>
      <w:r>
        <w:rPr>
          <w:b w:val="0"/>
          <w:i w:val="0"/>
        </w:rPr>
        <w:t xml:space="preserve">period, if local regulations and ERBs allow, at a facility selected by the Sponsor.  The duration </w:t>
      </w:r>
      <w:r>
        <w:rPr>
          <w:b w:val="0"/>
          <w:i w:val="0"/>
        </w:rPr>
        <w:t xml:space="preserve">allows the Sponsor to respond to future regulatory requests related to tirzepatide.  Any samples </w:t>
      </w:r>
      <w:r>
        <w:rPr>
          <w:b w:val="0"/>
          <w:i w:val="0"/>
        </w:rPr>
        <w:t xml:space="preserve">remaining after 15 years will be destroyed. Immunogenicity information that would unblind the </w:t>
      </w:r>
      <w:r>
        <w:rPr>
          <w:b w:val="0"/>
          <w:i w:val="0"/>
        </w:rPr>
        <w:t xml:space="preserve">study will not be reported to investigative sites or blinded personnel (until the study has been </w:t>
      </w:r>
      <w:r>
        <w:rPr>
          <w:b w:val="0"/>
          <w:i w:val="0"/>
        </w:rPr>
        <w:t>unblinded).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