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11.2.12.</w:t>
      </w:r>
    </w:p>
    <w:p>
      <w:r>
        <w:rPr>
          <w:b/>
        </w:rPr>
        <w:t>Data Collection and Management</w:t>
      </w:r>
    </w:p>
    <w:p>
      <w:r>
        <w:rPr>
          <w:b w:val="0"/>
          <w:i w:val="0"/>
        </w:rPr>
        <w:t xml:space="preserve">This study will be conducted in compliance with ICH CGP guidelines. This study will also be </w:t>
      </w:r>
      <w:r>
        <w:rPr>
          <w:b w:val="0"/>
          <w:i w:val="0"/>
        </w:rPr>
        <w:t xml:space="preserve">conducted in accordance with the most recent version of the Declaration of Helsinki. </w:t>
      </w:r>
      <w:r>
        <w:rPr>
          <w:b w:val="0"/>
          <w:i w:val="0"/>
        </w:rPr>
        <w:t xml:space="preserve">This study will use electronic data collection (to collect data directly from the investigational site </w:t>
      </w:r>
      <w:r>
        <w:rPr>
          <w:b w:val="0"/>
          <w:i w:val="0"/>
        </w:rPr>
        <w:t xml:space="preserve">using eCRFs). The investigator is responsible for ensuring that all sections of each eCRF are </w:t>
      </w:r>
      <w:r>
        <w:rPr>
          <w:b w:val="0"/>
          <w:i w:val="0"/>
        </w:rPr>
        <w:t xml:space="preserve">completed promptly and correctly and that entries can be verified against any source data. </w:t>
      </w:r>
      <w:r>
        <w:rPr>
          <w:b w:val="0"/>
          <w:i w:val="0"/>
        </w:rPr>
        <w:t xml:space="preserve">Study monitors will perform source document verification to identify inconsistencies between the </w:t>
      </w:r>
      <w:r>
        <w:rPr>
          <w:b w:val="0"/>
          <w:i w:val="0"/>
        </w:rPr>
        <w:t xml:space="preserve">eCRFs and source documents. Discrepancies will be resolved in accordance with the principles of </w:t>
      </w:r>
      <w:r>
        <w:rPr>
          <w:b w:val="0"/>
          <w:i w:val="0"/>
        </w:rPr>
        <w:t xml:space="preserve">GCP. Detailed study monitoring procedures are provided in the Clinical Monitoring Plan. </w:t>
      </w:r>
      <w:r>
        <w:rPr>
          <w:b w:val="0"/>
          <w:i w:val="0"/>
        </w:rPr>
        <w:t xml:space="preserve">AEs will be coded with the most current available version of MedDRA. Concomitant medications </w:t>
      </w:r>
      <w:r>
        <w:rPr>
          <w:b w:val="0"/>
          <w:i w:val="0"/>
        </w:rPr>
        <w:t xml:space="preserve">will be coded using WHO – Drug Reference List. </w:t>
      </w:r>
    </w:p>
    <w:p>
      <w:r>
        <w:rPr>
          <w:b/>
        </w:rPr>
        <w:t>11.2.13.</w:t>
      </w:r>
    </w:p>
    <w:p>
      <w:r>
        <w:rPr>
          <w:b/>
        </w:rPr>
        <w:t>Source Documents</w:t>
      </w:r>
    </w:p>
    <w:p>
      <w:r>
        <w:rPr>
          <w:b w:val="0"/>
          <w:i w:val="0"/>
        </w:rPr>
        <w:t xml:space="preserve">Source documents are original documents or certified copies, and include, but are not limited to, </w:t>
      </w:r>
      <w:r>
        <w:rPr>
          <w:b w:val="0"/>
          <w:i w:val="0"/>
        </w:rPr>
        <w:t xml:space="preserve">diaries, medical and hospital records, screening logs, informed consent/assent forms, telephone </w:t>
      </w:r>
      <w:r>
        <w:rPr>
          <w:b w:val="0"/>
          <w:i w:val="0"/>
        </w:rPr>
        <w:t xml:space="preserve">contact logs, and worksheets. Source documents provide evidence for the existence of the </w:t>
      </w:r>
      <w:r>
        <w:rPr>
          <w:b w:val="0"/>
          <w:i w:val="0"/>
        </w:rPr>
        <w:t xml:space="preserve">participant and substantiate the integrity of the data collected. Source documents are filed at the </w:t>
      </w:r>
      <w:r>
        <w:rPr>
          <w:b w:val="0"/>
          <w:i w:val="0"/>
        </w:rPr>
        <w:t xml:space="preserve">investigator’s site. </w:t>
      </w:r>
      <w:r>
        <w:rPr>
          <w:b w:val="0"/>
          <w:i w:val="0"/>
        </w:rPr>
        <w:t xml:space="preserve">Data reported on the CRF or entered in the eCRF that are transcribed from source documents must </w:t>
      </w:r>
      <w:r>
        <w:rPr>
          <w:b w:val="0"/>
          <w:i w:val="0"/>
        </w:rPr>
        <w:t xml:space="preserve">be consistent with the source documents or the discrepancies must be explained. The investigator </w:t>
      </w:r>
      <w:r>
        <w:rPr>
          <w:b w:val="0"/>
          <w:i w:val="0"/>
        </w:rPr>
        <w:t xml:space="preserve">may need to request previous medical records or transfer records, depending on the study. Also, </w:t>
      </w:r>
      <w:r>
        <w:rPr>
          <w:b w:val="0"/>
          <w:i w:val="0"/>
        </w:rPr>
        <w:t xml:space="preserve">current medical records must be available. </w:t>
      </w:r>
      <w:r>
        <w:rPr>
          <w:b w:val="0"/>
          <w:i w:val="0"/>
        </w:rPr>
        <w:t xml:space="preserve">Moderna or its designee requires that the investigator prepare and maintain adequate and accurate </w:t>
      </w:r>
      <w:r>
        <w:rPr>
          <w:b w:val="0"/>
          <w:i w:val="0"/>
        </w:rPr>
        <w:t xml:space="preserve">records for each participant treated with the IP. Source documents such as any hospital, clinic, or </w:t>
      </w:r>
      <w:r>
        <w:rPr>
          <w:b w:val="0"/>
          <w:i w:val="0"/>
        </w:rPr>
        <w:t xml:space="preserve">office charts and the signed ICFs are to be included in the investigator’s files with the participant’s </w:t>
      </w:r>
      <w:r>
        <w:rPr>
          <w:b w:val="0"/>
          <w:i w:val="0"/>
        </w:rPr>
        <w:t xml:space="preserve">study records. </w:t>
      </w:r>
      <w:r>
        <w:rPr>
          <w:b w:val="0"/>
          <w:i w:val="0"/>
        </w:rPr>
        <w:t xml:space="preserve">ModernaTX, Inc. </w:t>
      </w:r>
      <w:r>
        <w:rPr>
          <w:b w:val="0"/>
          <w:i w:val="0"/>
        </w:rPr>
        <w:t xml:space="preserve">07 Apr 2022 </w:t>
      </w:r>
      <w:r>
        <w:rPr>
          <w:b w:val="0"/>
          <w:i w:val="0"/>
        </w:rPr>
        <w:t xml:space="preserve">mRNA-1273 </w:t>
      </w:r>
    </w:p>
    <w:p>
      <w:r>
        <w:rPr>
          <w:b/>
        </w:rPr>
        <w:t>11.2.14.</w:t>
      </w:r>
    </w:p>
    <w:p>
      <w:r>
        <w:rPr>
          <w:b/>
        </w:rPr>
        <w:t>Retention of Records</w:t>
      </w:r>
    </w:p>
    <w:p>
      <w:r>
        <w:rPr>
          <w:b w:val="0"/>
          <w:i w:val="0"/>
        </w:rPr>
        <w:t xml:space="preserve">The Principal Investigator must maintain all documentation relating to the study for a period of at </w:t>
      </w:r>
      <w:r>
        <w:rPr>
          <w:b w:val="0"/>
          <w:i w:val="0"/>
        </w:rPr>
        <w:t xml:space="preserve">least 2 years after the last marketing application approval or, if not approved, 2 years following </w:t>
      </w:r>
      <w:r>
        <w:rPr>
          <w:b w:val="0"/>
          <w:i w:val="0"/>
        </w:rPr>
        <w:t xml:space="preserve">the discontinuance of the test article for investigation. If this requirement differs from any local </w:t>
      </w:r>
      <w:r>
        <w:rPr>
          <w:b w:val="0"/>
          <w:i w:val="0"/>
        </w:rPr>
        <w:t xml:space="preserve">regulations, the local regulations will take precedence unless the local retention policy is less than </w:t>
      </w:r>
      <w:r>
        <w:rPr>
          <w:b w:val="0"/>
          <w:i w:val="0"/>
        </w:rPr>
        <w:t xml:space="preserve">2 years. </w:t>
      </w:r>
      <w:r>
        <w:rPr>
          <w:b w:val="0"/>
          <w:i w:val="0"/>
        </w:rPr>
        <w:t>If it becomes necessary for Moderna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or the regulatory authority to review any documentation </w:t>
      </w:r>
      <w:r>
        <w:rPr>
          <w:b w:val="0"/>
          <w:i w:val="0"/>
        </w:rPr>
        <w:t xml:space="preserve">relating to the study, the investigator must permit access to such records. No records will be </w:t>
      </w:r>
      <w:r>
        <w:rPr>
          <w:b w:val="0"/>
          <w:i w:val="0"/>
        </w:rPr>
        <w:t xml:space="preserve">destroyed without the written consent of the Sponsor, if applicable. It is the responsibility of the </w:t>
      </w:r>
      <w:r>
        <w:rPr>
          <w:b w:val="0"/>
          <w:i w:val="0"/>
        </w:rPr>
        <w:t xml:space="preserve">Sponsor to inform the investigator when these documents no longer need to be retained. </w:t>
      </w:r>
    </w:p>
    <w:p>
      <w:r>
        <w:rPr>
          <w:b/>
        </w:rPr>
        <w:t>11.2.15.</w:t>
      </w:r>
    </w:p>
    <w:p>
      <w:r>
        <w:rPr>
          <w:b/>
        </w:rPr>
        <w:t>Study and Site Closure</w:t>
      </w:r>
    </w:p>
    <w:p>
      <w:r>
        <w:rPr>
          <w:b w:val="0"/>
          <w:i w:val="0"/>
        </w:rPr>
        <w:t xml:space="preserve">If the study is prematurely terminated or suspended, the Sponsor shall promptly inform the </w:t>
      </w:r>
      <w:r>
        <w:rPr>
          <w:b w:val="0"/>
          <w:i w:val="0"/>
        </w:rPr>
        <w:t xml:space="preserve">investigators, the IECs/IRBs, the regulatory authorities, and any CRO(s) used in the study of the </w:t>
      </w:r>
      <w:r>
        <w:rPr>
          <w:b w:val="0"/>
          <w:i w:val="0"/>
        </w:rPr>
        <w:t xml:space="preserve">reason for termination or suspension, as specified by the applicable regulatory requirements. The </w:t>
      </w:r>
      <w:r>
        <w:rPr>
          <w:b w:val="0"/>
          <w:i w:val="0"/>
        </w:rPr>
        <w:t xml:space="preserve">investigator shall promptly inform the participant and should assure appropriate participant therapy </w:t>
      </w:r>
      <w:r>
        <w:rPr>
          <w:b w:val="0"/>
          <w:i w:val="0"/>
        </w:rPr>
        <w:t xml:space="preserve">and/or follow-up. </w:t>
      </w:r>
      <w:r>
        <w:rPr>
          <w:b w:val="0"/>
          <w:i w:val="0"/>
        </w:rPr>
        <w:t xml:space="preserve">The Sponsor or designee reserves the right to close the study site or terminate the study at any time </w:t>
      </w:r>
      <w:r>
        <w:rPr>
          <w:b w:val="0"/>
          <w:i w:val="0"/>
        </w:rPr>
        <w:t xml:space="preserve">for any reason at the sole discretion of the Sponsor. </w:t>
      </w:r>
      <w:r>
        <w:rPr>
          <w:b w:val="0"/>
          <w:i w:val="0"/>
        </w:rPr>
        <w:t xml:space="preserve">The investigator may initiate study-site closure at any time, provided there is reasonable cause and </w:t>
      </w:r>
      <w:r>
        <w:rPr>
          <w:b w:val="0"/>
          <w:i w:val="0"/>
        </w:rPr>
        <w:t xml:space="preserve">sufficient notice is given in advance of the intended termination. </w:t>
      </w:r>
      <w:r>
        <w:rPr>
          <w:b w:val="0"/>
          <w:i w:val="0"/>
        </w:rPr>
        <w:t xml:space="preserve">Reasons for the early closure of a study site by the Sponsor or investigator may include but are not </w:t>
      </w:r>
      <w:r>
        <w:rPr>
          <w:b w:val="0"/>
          <w:i w:val="0"/>
        </w:rPr>
        <w:t xml:space="preserve">limited to: </w:t>
      </w:r>
    </w:p>
    <w:p>
      <w:pPr>
        <w:pStyle w:val="ListBullet"/>
      </w:pPr>
      <w:r>
        <w:t>Continuation of the study represents a significant medical risk to participants.</w:t>
      </w:r>
    </w:p>
    <w:p>
      <w:pPr>
        <w:pStyle w:val="ListBullet"/>
      </w:pPr>
      <w:r>
        <w:t>Failure of the investigator to comply with the protocol, the requirements of the IRB/IEC or local health authorities, the Sponsor's procedures, or GCP guidelines.</w:t>
      </w:r>
    </w:p>
    <w:p>
      <w:pPr>
        <w:pStyle w:val="ListBullet"/>
      </w:pPr>
      <w:r>
        <w:t>Inadequate recruitment of participants by the investigator.</w:t>
      </w:r>
    </w:p>
    <w:p>
      <w:pPr>
        <w:pStyle w:val="ListBullet"/>
      </w:pPr>
      <w:r>
        <w:t>Discontinuation of further mRNA-1273 development. Study sites will be closed upon study completion. A study site is considered closed when all required documents and study supplies have been collected and a study-site closure visit has been performed. ModernaTX, Inc. 07 Apr 2022 mRNA-1273</w:t>
      </w:r>
    </w:p>
    <w:p>
      <w:r>
        <w:rPr>
          <w:b/>
        </w:rPr>
        <w:t>11.2.16.</w:t>
      </w:r>
    </w:p>
    <w:p>
      <w:r>
        <w:rPr>
          <w:b/>
        </w:rPr>
        <w:t>Publication Policy</w:t>
      </w:r>
    </w:p>
    <w:p>
      <w:r>
        <w:rPr>
          <w:b w:val="0"/>
          <w:i w:val="0"/>
        </w:rPr>
        <w:t xml:space="preserve">The results of this study may be published or presented at scientific meetings. If this is foreseen, </w:t>
      </w:r>
      <w:r>
        <w:rPr>
          <w:b w:val="0"/>
          <w:i w:val="0"/>
        </w:rPr>
        <w:t xml:space="preserve">the investigator agrees to submit all manuscripts or abstracts to the Sponsor before submission. </w:t>
      </w:r>
      <w:r>
        <w:rPr>
          <w:b w:val="0"/>
          <w:i w:val="0"/>
        </w:rPr>
        <w:t xml:space="preserve">This allows the Sponsor to protect proprietary information and to provide comments. </w:t>
      </w:r>
      <w:r>
        <w:rPr>
          <w:b w:val="0"/>
          <w:i w:val="0"/>
        </w:rPr>
        <w:t xml:space="preserve">The Sponsor will comply with the requirements for publication of study results. In accordance </w:t>
      </w:r>
      <w:r>
        <w:rPr>
          <w:b w:val="0"/>
          <w:i w:val="0"/>
        </w:rPr>
        <w:t xml:space="preserve">with standard editorial and ethical practice, the Sponsor will generally support publication of </w:t>
      </w:r>
      <w:r>
        <w:rPr>
          <w:b w:val="0"/>
          <w:i w:val="0"/>
        </w:rPr>
        <w:t xml:space="preserve">multicenter studies only in their entirety and not as individual site data. In this case, a coordinating </w:t>
      </w:r>
      <w:r>
        <w:rPr>
          <w:b w:val="0"/>
          <w:i w:val="0"/>
        </w:rPr>
        <w:t xml:space="preserve">investigator will be designated by mutual agreement. </w:t>
      </w:r>
      <w:r>
        <w:rPr>
          <w:b w:val="0"/>
          <w:i w:val="0"/>
        </w:rPr>
        <w:t xml:space="preserve">Authorship will be determined by mutual agreement and in line with International Committee of </w:t>
      </w:r>
      <w:r>
        <w:rPr>
          <w:b w:val="0"/>
          <w:i w:val="0"/>
        </w:rPr>
        <w:t xml:space="preserve">Medical Journal Editors authorship requirements. </w:t>
      </w:r>
      <w:r>
        <w:rPr>
          <w:b w:val="0"/>
          <w:i w:val="0"/>
        </w:rPr>
        <w:t xml:space="preserve">The clinical study plan and the results of the study will be published on </w:t>
      </w:r>
      <w:r>
        <w:rPr>
          <w:b w:val="0"/>
          <w:i w:val="0"/>
        </w:rPr>
        <w:t>www.ClinicalTrials.gov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 accordance with 21 CFR 50.25(c). The results of and data from this study belong to Moderna.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