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2.1.</w:t>
      </w:r>
    </w:p>
    <w:p>
      <w:r>
        <w:rPr>
          <w:b/>
        </w:rPr>
        <w:t>Study Rationale</w:t>
      </w:r>
    </w:p>
    <w:p>
      <w:r>
        <w:rPr>
          <w:b w:val="0"/>
          <w:i w:val="0"/>
        </w:rPr>
        <w:t xml:space="preserve">Coronaviruses (CoVs) are a large family of viruses that cause illness ranging from the common </w:t>
      </w:r>
      <w:r>
        <w:rPr>
          <w:b w:val="0"/>
          <w:i w:val="0"/>
        </w:rPr>
        <w:t xml:space="preserve">cold to more severe diseases, such as Middle East respiratory syndrome CoV (MERS-CoV) and </w:t>
      </w:r>
      <w:r>
        <w:rPr>
          <w:b w:val="0"/>
          <w:i w:val="0"/>
        </w:rPr>
        <w:t xml:space="preserve">severe acute respiratory syndrome CoV (SARS-CoV). </w:t>
      </w:r>
      <w:r>
        <w:rPr>
          <w:b w:val="0"/>
          <w:i w:val="0"/>
        </w:rPr>
        <w:t xml:space="preserve">An outbreak of the CoV disease 2019 (COVID-19) caused by SARS-CoV-2 began in Wuhan, </w:t>
      </w:r>
      <w:r>
        <w:rPr>
          <w:b w:val="0"/>
          <w:i w:val="0"/>
        </w:rPr>
        <w:t xml:space="preserve">Hubei Province, China in December 2019 and has spread throughout China and to over 216 other </w:t>
      </w:r>
      <w:r>
        <w:rPr>
          <w:b w:val="0"/>
          <w:i w:val="0"/>
        </w:rPr>
        <w:t>countries and territories, including the United States (</w:t>
      </w:r>
      <w:r>
        <w:rPr>
          <w:b w:val="0"/>
          <w:i w:val="0"/>
        </w:rPr>
        <w:t>WHO 2020</w:t>
      </w:r>
      <w:r>
        <w:rPr>
          <w:b w:val="0"/>
          <w:i w:val="0"/>
        </w:rPr>
        <w:t xml:space="preserve">). On 11 Mar 2020, the World </w:t>
      </w:r>
      <w:r>
        <w:rPr>
          <w:b w:val="0"/>
          <w:i w:val="0"/>
        </w:rPr>
        <w:t xml:space="preserve">Health Organization (WHO) officially declared COVID-19 a pandemic. As of 28 May 2020, the </w:t>
      </w:r>
      <w:r>
        <w:rPr>
          <w:b w:val="0"/>
          <w:i w:val="0"/>
        </w:rPr>
        <w:t xml:space="preserve">WHO reported more than 5,593,631 confirmed cases and 353,334 deaths globally and the US </w:t>
      </w:r>
      <w:r>
        <w:rPr>
          <w:b w:val="0"/>
          <w:i w:val="0"/>
        </w:rPr>
        <w:t xml:space="preserve">Centers for Disease Control and Prevention (CDC) reported 1,698,523 confirmed and probable </w:t>
      </w:r>
      <w:r>
        <w:rPr>
          <w:b w:val="0"/>
          <w:i w:val="0"/>
        </w:rPr>
        <w:t>cases of COVID-19, with 100,446 deaths in the United States (</w:t>
      </w:r>
      <w:r>
        <w:rPr>
          <w:b w:val="0"/>
          <w:i w:val="0"/>
        </w:rPr>
        <w:t>CDC 2020a</w:t>
      </w:r>
      <w:r>
        <w:rPr>
          <w:b w:val="0"/>
          <w:i w:val="0"/>
        </w:rPr>
        <w:t xml:space="preserve">). The CDC have </w:t>
      </w:r>
      <w:r>
        <w:rPr>
          <w:b w:val="0"/>
          <w:i w:val="0"/>
        </w:rPr>
        <w:t xml:space="preserve">reported that the highest risk of disease burden is in older adults (≥ 65 years old) and people of any </w:t>
      </w:r>
      <w:r>
        <w:rPr>
          <w:b w:val="0"/>
          <w:i w:val="0"/>
        </w:rPr>
        <w:t xml:space="preserve">age who have serious underlying medical conditions, such as chronic lung disease or moderate to </w:t>
      </w:r>
      <w:r>
        <w:rPr>
          <w:b w:val="0"/>
          <w:i w:val="0"/>
        </w:rPr>
        <w:t xml:space="preserve">severe asthma; serious heart conditions; severe obesity; diabetes; chronic kidney disease requiring </w:t>
      </w:r>
      <w:r>
        <w:rPr>
          <w:b w:val="0"/>
          <w:i w:val="0"/>
        </w:rPr>
        <w:t>dialysis; liver disease; and those who are immunocompromised (</w:t>
      </w:r>
      <w:r>
        <w:rPr>
          <w:b w:val="0"/>
          <w:i w:val="0"/>
        </w:rPr>
        <w:t>CDC 2020b</w:t>
      </w:r>
      <w:r>
        <w:rPr>
          <w:b w:val="0"/>
          <w:i w:val="0"/>
        </w:rPr>
        <w:t xml:space="preserve">). </w:t>
      </w:r>
      <w:r>
        <w:rPr>
          <w:b w:val="0"/>
          <w:i w:val="0"/>
        </w:rPr>
        <w:t xml:space="preserve">At the time the present Phase 3 study was initiated, no vaccine against SARS-CoV-2 had been </w:t>
      </w:r>
      <w:r>
        <w:rPr>
          <w:b w:val="0"/>
          <w:i w:val="0"/>
        </w:rPr>
        <w:t xml:space="preserve">authorized or approved. Global efforts to evaluate novel antivirals and therapeutic strategies to </w:t>
      </w:r>
      <w:r>
        <w:rPr>
          <w:b w:val="0"/>
          <w:i w:val="0"/>
        </w:rPr>
        <w:t xml:space="preserve">treat severe SARS-CoV-2 infections have intensified, but no proven therapeutic currently exists. </w:t>
      </w:r>
      <w:r>
        <w:rPr>
          <w:b w:val="0"/>
          <w:i w:val="0"/>
        </w:rPr>
        <w:t xml:space="preserve">Therefore, there is an urgent public health need for rapid development of novel interventions to </w:t>
      </w:r>
      <w:r>
        <w:rPr>
          <w:b w:val="0"/>
          <w:i w:val="0"/>
        </w:rPr>
        <w:t xml:space="preserve">prevent the spread of this disease. The primary goal of this Phase 3 study is to evaluate the vaccine </w:t>
      </w:r>
      <w:r>
        <w:rPr>
          <w:b w:val="0"/>
          <w:i w:val="0"/>
        </w:rPr>
        <w:t xml:space="preserve">efficacy (VE) of mRNA-1273 to prevent COVID-19, compared to placebo.  </w:t>
      </w:r>
    </w:p>
    <w:p>
      <w:r>
        <w:rPr>
          <w:b/>
        </w:rPr>
        <w:t>2.2.</w:t>
      </w:r>
    </w:p>
    <w:p>
      <w:r>
        <w:rPr>
          <w:b/>
        </w:rPr>
        <w:t>Background and Overview</w:t>
      </w:r>
    </w:p>
    <w:p>
      <w:r>
        <w:rPr>
          <w:b w:val="0"/>
          <w:i w:val="0"/>
        </w:rPr>
        <w:t xml:space="preserve">ModernaTX, Inc. (the Sponsor) has developed a rapid response, proprietary vaccine platform </w:t>
      </w:r>
      <w:r>
        <w:rPr>
          <w:b w:val="0"/>
          <w:i w:val="0"/>
        </w:rPr>
        <w:t xml:space="preserve">based on a messenger RNA (mRNA) delivery system. The platform is based on the principle and </w:t>
      </w:r>
      <w:r>
        <w:rPr>
          <w:b w:val="0"/>
          <w:i w:val="0"/>
        </w:rPr>
        <w:t xml:space="preserve">observations that cells in vivo can take up mRNA, translate it, and then express protein viral </w:t>
      </w:r>
      <w:r>
        <w:rPr>
          <w:b w:val="0"/>
          <w:i w:val="0"/>
        </w:rPr>
        <w:t xml:space="preserve">antigen(s) on the cell surface. The delivered mRNA does not enter the cellular nucleus or interact </w:t>
      </w:r>
      <w:r>
        <w:rPr>
          <w:b w:val="0"/>
          <w:i w:val="0"/>
        </w:rPr>
        <w:t xml:space="preserve">with the genome, is nonreplicating, and is expressed transiently. mRNA vaccines have been used </w:t>
      </w:r>
      <w:r>
        <w:rPr>
          <w:b w:val="0"/>
          <w:i w:val="0"/>
        </w:rPr>
        <w:t xml:space="preserve">to induce immune responses against infectious pathogens such as cytomegalovirus </w:t>
      </w:r>
      <w:r>
        <w:rPr>
          <w:b w:val="0"/>
          <w:i w:val="0"/>
        </w:rPr>
        <w:t>(</w:t>
      </w:r>
      <w:r>
        <w:rPr>
          <w:b w:val="0"/>
          <w:i w:val="0"/>
        </w:rPr>
        <w:t>NCT03382405</w:t>
      </w:r>
      <w:r>
        <w:rPr>
          <w:b w:val="0"/>
          <w:i w:val="0"/>
        </w:rPr>
        <w:t>), human metapneumovirus and parainfluenza virus type 3 (</w:t>
      </w:r>
      <w:r>
        <w:rPr>
          <w:b w:val="0"/>
          <w:i w:val="0"/>
        </w:rPr>
        <w:t>NCT03392389</w:t>
      </w:r>
      <w:r>
        <w:rPr>
          <w:b w:val="0"/>
          <w:i w:val="0"/>
        </w:rPr>
        <w:t xml:space="preserve">), Zika </w:t>
      </w:r>
      <w:r>
        <w:rPr>
          <w:b w:val="0"/>
          <w:i w:val="0"/>
        </w:rPr>
        <w:t>virus (</w:t>
      </w:r>
      <w:r>
        <w:rPr>
          <w:b w:val="0"/>
          <w:i w:val="0"/>
        </w:rPr>
        <w:t>NCT03325075</w:t>
      </w:r>
      <w:r>
        <w:rPr>
          <w:b w:val="0"/>
          <w:i w:val="0"/>
        </w:rPr>
        <w:t>), and influenza virus (</w:t>
      </w:r>
      <w:r>
        <w:rPr>
          <w:b w:val="0"/>
          <w:i w:val="0"/>
        </w:rPr>
        <w:t>NCT03076385</w:t>
      </w:r>
      <w:r>
        <w:rPr>
          <w:b w:val="0"/>
          <w:i w:val="0"/>
        </w:rPr>
        <w:t xml:space="preserve"> and </w:t>
      </w:r>
      <w:r>
        <w:rPr>
          <w:b w:val="0"/>
          <w:i w:val="0"/>
        </w:rPr>
        <w:t>NCT03345043</w:t>
      </w:r>
      <w:r>
        <w:rPr>
          <w:b w:val="0"/>
          <w:i w:val="0"/>
        </w:rPr>
        <w:t xml:space="preserve">). </w:t>
      </w:r>
      <w:r>
        <w:rPr>
          <w:b w:val="0"/>
          <w:i w:val="0"/>
        </w:rPr>
        <w:t xml:space="preserve">The Sponsor is using its mRNA-based platform to develop a novel lipid nanoparticle </w:t>
      </w:r>
      <w:r>
        <w:rPr>
          <w:b w:val="0"/>
          <w:i w:val="0"/>
        </w:rPr>
        <w:t xml:space="preserve">(LNP)-encapsulated mRNA-based vaccine against SARS-CoV-2 (mRNA-1273). mRNA-1273 </w:t>
      </w:r>
      <w:r>
        <w:rPr>
          <w:b w:val="0"/>
          <w:i w:val="0"/>
        </w:rPr>
        <w:t xml:space="preserve">encodes for the full-length spike (S) protein of SARS-CoV-2, modified to introduce 2 proline </w:t>
      </w:r>
      <w:r>
        <w:rPr>
          <w:b w:val="0"/>
          <w:i w:val="0"/>
        </w:rPr>
        <w:t xml:space="preserve">residues to stabilize the S protein (S-2P) in a prefusion conformation. The CoV S protein mediates </w:t>
      </w:r>
      <w:r>
        <w:rPr>
          <w:b w:val="0"/>
          <w:i w:val="0"/>
        </w:rPr>
        <w:t xml:space="preserve">ModernaTX, Inc. </w:t>
      </w:r>
      <w:r>
        <w:rPr>
          <w:b w:val="0"/>
          <w:i w:val="0"/>
        </w:rPr>
        <w:t xml:space="preserve">07 Apr 2022 </w:t>
      </w:r>
      <w:r>
        <w:rPr>
          <w:b w:val="0"/>
          <w:i w:val="0"/>
        </w:rPr>
        <w:t xml:space="preserve">mRNA-1273 </w:t>
      </w:r>
    </w:p>
    <w:p>
      <w:r>
        <w:rPr>
          <w:b w:val="0"/>
          <w:i w:val="0"/>
        </w:rPr>
        <w:t xml:space="preserve">attachment and entry of the virus into host cells (by fusion), making it a primary target for </w:t>
      </w:r>
      <w:r>
        <w:rPr>
          <w:b w:val="0"/>
          <w:i w:val="0"/>
        </w:rPr>
        <w:t>neutralizing antibodies (nAbs) that prevent infection (</w:t>
      </w:r>
      <w:r>
        <w:rPr>
          <w:b w:val="0"/>
          <w:i w:val="0"/>
        </w:rPr>
        <w:t>Johnson et al 2016</w:t>
      </w:r>
      <w:r>
        <w:rPr>
          <w:b w:val="0"/>
          <w:i w:val="0"/>
        </w:rPr>
        <w:t xml:space="preserve">; </w:t>
      </w:r>
      <w:r>
        <w:rPr>
          <w:b w:val="0"/>
          <w:i w:val="0"/>
        </w:rPr>
        <w:t>Wang et al 2015</w:t>
      </w:r>
      <w:r>
        <w:rPr>
          <w:b w:val="0"/>
          <w:i w:val="0"/>
        </w:rPr>
        <w:t xml:space="preserve">; </w:t>
      </w:r>
      <w:r>
        <w:rPr>
          <w:b w:val="0"/>
          <w:i w:val="0"/>
        </w:rPr>
        <w:t>Wang et al 2018</w:t>
      </w:r>
      <w:r>
        <w:rPr>
          <w:b w:val="0"/>
          <w:i w:val="0"/>
        </w:rPr>
        <w:t xml:space="preserve">; </w:t>
      </w:r>
      <w:r>
        <w:rPr>
          <w:b w:val="0"/>
          <w:i w:val="0"/>
        </w:rPr>
        <w:t>Chen et al 2017</w:t>
      </w:r>
      <w:r>
        <w:rPr>
          <w:b w:val="0"/>
          <w:i w:val="0"/>
        </w:rPr>
        <w:t xml:space="preserve">; </w:t>
      </w:r>
      <w:r>
        <w:rPr>
          <w:b w:val="0"/>
          <w:i w:val="0"/>
        </w:rPr>
        <w:t>Corti et al 2015</w:t>
      </w:r>
      <w:r>
        <w:rPr>
          <w:b w:val="0"/>
          <w:i w:val="0"/>
        </w:rPr>
        <w:t xml:space="preserve">; </w:t>
      </w:r>
      <w:r>
        <w:rPr>
          <w:b w:val="0"/>
          <w:i w:val="0"/>
        </w:rPr>
        <w:t>Yu et al 2015</w:t>
      </w:r>
      <w:r>
        <w:rPr>
          <w:b w:val="0"/>
          <w:i w:val="0"/>
        </w:rPr>
        <w:t xml:space="preserve">; </w:t>
      </w:r>
      <w:r>
        <w:rPr>
          <w:b w:val="0"/>
          <w:i w:val="0"/>
        </w:rPr>
        <w:t>Kim et al 2019</w:t>
      </w:r>
      <w:r>
        <w:rPr>
          <w:b w:val="0"/>
          <w:i w:val="0"/>
        </w:rPr>
        <w:t xml:space="preserve">; </w:t>
      </w:r>
      <w:r>
        <w:rPr>
          <w:b w:val="0"/>
          <w:i w:val="0"/>
        </w:rPr>
        <w:t xml:space="preserve">Widjaja et al </w:t>
      </w:r>
      <w:r>
        <w:rPr>
          <w:b w:val="0"/>
          <w:i w:val="0"/>
        </w:rPr>
        <w:t>2019</w:t>
      </w:r>
      <w:r>
        <w:rPr>
          <w:b w:val="0"/>
          <w:i w:val="0"/>
        </w:rPr>
        <w:t xml:space="preserve">). It has been confirmed that the stabilized SARS-CoV-2 S-2P antigen presents in the correct </w:t>
      </w:r>
      <w:r>
        <w:rPr>
          <w:b w:val="0"/>
          <w:i w:val="0"/>
        </w:rPr>
        <w:t>prefusion conformation (</w:t>
      </w:r>
      <w:r>
        <w:rPr>
          <w:b w:val="0"/>
          <w:i w:val="0"/>
        </w:rPr>
        <w:t>Wrapp et al 2020</w:t>
      </w:r>
      <w:r>
        <w:rPr>
          <w:b w:val="0"/>
          <w:i w:val="0"/>
        </w:rPr>
        <w:t xml:space="preserve">). </w:t>
      </w:r>
      <w:r>
        <w:rPr>
          <w:b w:val="0"/>
          <w:i w:val="0"/>
        </w:rPr>
        <w:t xml:space="preserve">The development of the mRNA-1273 vaccine is being accelerated to address the current </w:t>
      </w:r>
      <w:r>
        <w:rPr>
          <w:b w:val="0"/>
          <w:i w:val="0"/>
        </w:rPr>
        <w:t xml:space="preserve">SARS-CoV-2 outbreak as a result of the uniquely rapid and scalable manufacturing process for </w:t>
      </w:r>
      <w:r>
        <w:rPr>
          <w:b w:val="0"/>
          <w:i w:val="0"/>
        </w:rPr>
        <w:t xml:space="preserve">mRNA-1273. The primary goal of this Phase 3 study is to evaluate the VE of mRNA-1273 to </w:t>
      </w:r>
      <w:r>
        <w:rPr>
          <w:b w:val="0"/>
          <w:i w:val="0"/>
        </w:rPr>
        <w:t xml:space="preserve">prevent COVID-19, compared to placebo. </w:t>
      </w:r>
    </w:p>
    <w:p>
      <w:r>
        <w:rPr>
          <w:b/>
        </w:rPr>
        <w:t>2.2.1.</w:t>
      </w:r>
    </w:p>
    <w:p>
      <w:r>
        <w:rPr>
          <w:b/>
        </w:rPr>
        <w:t>Nonclinical Studies</w:t>
      </w:r>
    </w:p>
    <w:p>
      <w:r>
        <w:rPr>
          <w:b w:val="0"/>
          <w:i w:val="0"/>
        </w:rPr>
        <w:t xml:space="preserve">Nonclinical studies have demonstrated that CoV S proteins are immunogenic and S protein-based </w:t>
      </w:r>
      <w:r>
        <w:rPr>
          <w:b w:val="0"/>
          <w:i w:val="0"/>
        </w:rPr>
        <w:t xml:space="preserve">vaccines, including those based on mRNA delivery platforms, are protective in animals. Prior </w:t>
      </w:r>
      <w:r>
        <w:rPr>
          <w:b w:val="0"/>
          <w:i w:val="0"/>
        </w:rPr>
        <w:t xml:space="preserve">clinical studies of vaccines targeting related CoVs and other viruses have demonstrated that </w:t>
      </w:r>
      <w:r>
        <w:rPr>
          <w:b w:val="0"/>
          <w:i w:val="0"/>
        </w:rPr>
        <w:t xml:space="preserve">mRNA-based vaccines are safe and immunogenic. It is therefore anticipated that mRNA-1273 will </w:t>
      </w:r>
      <w:r>
        <w:rPr>
          <w:b w:val="0"/>
          <w:i w:val="0"/>
        </w:rPr>
        <w:t xml:space="preserve">generate robust immune responses to the SARS-CoV-2 S protein and will be well tolerated. In </w:t>
      </w:r>
      <w:r>
        <w:rPr>
          <w:b w:val="0"/>
          <w:i w:val="0"/>
        </w:rPr>
        <w:t xml:space="preserve">addition, mRNA-1273 has shown preliminary evidence of protection against SARS-CoV-2 in a </w:t>
      </w:r>
      <w:r>
        <w:rPr>
          <w:b w:val="0"/>
          <w:i w:val="0"/>
        </w:rPr>
        <w:t xml:space="preserve">murine model of infection (data on file). </w:t>
      </w:r>
      <w:r>
        <w:rPr>
          <w:b w:val="0"/>
          <w:i w:val="0"/>
        </w:rPr>
        <w:t xml:space="preserve">In support of development of mRNA-1273 for prophylaxis against SARS-CoV-2 infection, </w:t>
      </w:r>
      <w:r>
        <w:rPr>
          <w:b w:val="0"/>
          <w:i w:val="0"/>
        </w:rPr>
        <w:t xml:space="preserve">nonclinical immunogenicity, biodistribution, and safety studies have been completed with similar </w:t>
      </w:r>
      <w:r>
        <w:rPr>
          <w:b w:val="0"/>
          <w:i w:val="0"/>
        </w:rPr>
        <w:t xml:space="preserve">mRNA-based vaccines formulated in LNPs containing </w:t>
      </w:r>
      <w:r>
        <w:rPr>
          <w:b w:val="0"/>
          <w:i w:val="0"/>
        </w:rPr>
        <w:t>CCI</w:t>
      </w:r>
      <w:r>
        <w:rPr>
          <w:b w:val="0"/>
          <w:i w:val="0"/>
        </w:rPr>
        <w:t xml:space="preserve">, the novel proprietary lipid used </w:t>
      </w:r>
      <w:r>
        <w:rPr>
          <w:b w:val="0"/>
          <w:i w:val="0"/>
        </w:rPr>
        <w:t xml:space="preserve">in the mRNA-1273 LNP formulation. </w:t>
      </w:r>
      <w:r>
        <w:rPr>
          <w:b w:val="0"/>
          <w:i w:val="0"/>
        </w:rPr>
        <w:t xml:space="preserve">A detailed review of nonclinical experience with mRNA-1273 vaccine is provided in the </w:t>
      </w:r>
      <w:r>
        <w:rPr>
          <w:b w:val="0"/>
          <w:i w:val="0"/>
        </w:rPr>
        <w:t xml:space="preserve">investigator’s brochure (IB). </w:t>
      </w:r>
    </w:p>
    <w:p>
      <w:r>
        <w:rPr>
          <w:b/>
        </w:rPr>
        <w:t>2.2.2.</w:t>
      </w:r>
    </w:p>
    <w:p>
      <w:r>
        <w:rPr>
          <w:b/>
        </w:rPr>
        <w:t>Clinical Studies</w:t>
      </w:r>
    </w:p>
    <w:p>
      <w:r>
        <w:rPr>
          <w:b w:val="0"/>
          <w:i w:val="0"/>
        </w:rPr>
        <w:t xml:space="preserve">The mRNA-1273 vaccine is currently being evaluated for safety and immunogenicity in a </w:t>
      </w:r>
      <w:r>
        <w:rPr>
          <w:b w:val="0"/>
          <w:i w:val="0"/>
        </w:rPr>
        <w:t>dose-ranging Phase 1 study (</w:t>
      </w:r>
      <w:r>
        <w:rPr>
          <w:b w:val="0"/>
          <w:i w:val="0"/>
        </w:rPr>
        <w:t>NCT04283461</w:t>
      </w:r>
      <w:r>
        <w:rPr>
          <w:b w:val="0"/>
          <w:i w:val="0"/>
        </w:rPr>
        <w:t xml:space="preserve">) sponsored and conducted by the Division of </w:t>
      </w:r>
      <w:r>
        <w:rPr>
          <w:b w:val="0"/>
          <w:i w:val="0"/>
        </w:rPr>
        <w:t xml:space="preserve">Microbiology and Infectious Diseases (DMID) of the National Institute of Allergy and Infectious </w:t>
      </w:r>
      <w:r>
        <w:rPr>
          <w:b w:val="0"/>
          <w:i w:val="0"/>
        </w:rPr>
        <w:t xml:space="preserve">Diseases (NIAID). The Phase 1 DMID study is an open-label dose-ranging study of mRNA-1273 </w:t>
      </w:r>
      <w:r>
        <w:rPr>
          <w:b w:val="0"/>
          <w:i w:val="0"/>
        </w:rPr>
        <w:t xml:space="preserve">in healthy adult male and non-pregnant female participants in 3 age groups: age 18 to 55 years, </w:t>
      </w:r>
      <w:r>
        <w:rPr>
          <w:b w:val="0"/>
          <w:i w:val="0"/>
        </w:rPr>
        <w:t xml:space="preserve">inclusive (45 participants); age 56 to 70 years, inclusive (30 participants); and ≥ 71 years </w:t>
      </w:r>
      <w:r>
        <w:rPr>
          <w:b w:val="0"/>
          <w:i w:val="0"/>
        </w:rPr>
        <w:t xml:space="preserve">(30 participants). Each participant received an intramuscular (IM) injection (0.5 mL) of </w:t>
      </w:r>
      <w:r>
        <w:rPr>
          <w:b w:val="0"/>
          <w:i w:val="0"/>
        </w:rPr>
        <w:t xml:space="preserve">mRNA-1273 on Days 1 and 29 in the deltoid muscle and will be followed for 13 months after the </w:t>
      </w:r>
      <w:r>
        <w:rPr>
          <w:b w:val="0"/>
          <w:i w:val="0"/>
        </w:rPr>
        <w:t xml:space="preserve">second injection. Sera obtained from 41 participants who were convalescing from COVID-19 were </w:t>
      </w:r>
      <w:r>
        <w:rPr>
          <w:b w:val="0"/>
          <w:i w:val="0"/>
        </w:rPr>
        <w:t xml:space="preserve">included as a comparative control. </w:t>
      </w:r>
      <w:r>
        <w:rPr>
          <w:b w:val="0"/>
          <w:i w:val="0"/>
        </w:rPr>
        <w:t xml:space="preserve">ModernaTX, Inc. </w:t>
      </w:r>
      <w:r>
        <w:rPr>
          <w:b w:val="0"/>
          <w:i w:val="0"/>
        </w:rPr>
        <w:t xml:space="preserve">07 Apr 2022 </w:t>
      </w:r>
      <w:r>
        <w:rPr>
          <w:b w:val="0"/>
          <w:i w:val="0"/>
        </w:rPr>
        <w:t xml:space="preserve">mRNA-1273 </w:t>
      </w:r>
    </w:p>
    <w:p>
      <w:r>
        <w:rPr>
          <w:b w:val="0"/>
          <w:i w:val="0"/>
        </w:rPr>
        <w:t xml:space="preserve">A total of 120 participants were enrolled, and 116 participants received the second injection. Three </w:t>
      </w:r>
      <w:r>
        <w:rPr>
          <w:b w:val="0"/>
          <w:i w:val="0"/>
        </w:rPr>
        <w:t xml:space="preserve">mRNA-1273 dose levels (25, 50, and 100 µg) administered 28 days apart have been assessed in </w:t>
      </w:r>
      <w:r>
        <w:rPr>
          <w:b w:val="0"/>
          <w:i w:val="0"/>
        </w:rPr>
        <w:t xml:space="preserve">participants 18 to 55 years, 56 to 70 years, and ≥ 71 years of age. The mRNA-1273 250-µg dose </w:t>
      </w:r>
      <w:r>
        <w:rPr>
          <w:b w:val="0"/>
          <w:i w:val="0"/>
        </w:rPr>
        <w:t xml:space="preserve">was not evaluated in participants 56 to 70 years and ≥ 71 years of age due to reactogenicity </w:t>
      </w:r>
      <w:r>
        <w:rPr>
          <w:b w:val="0"/>
          <w:i w:val="0"/>
        </w:rPr>
        <w:t xml:space="preserve">observed in 4 participants in the 250 µg (18 to 55 years) dose cohort. Across all age groups, </w:t>
      </w:r>
      <w:r>
        <w:rPr>
          <w:b w:val="0"/>
          <w:i w:val="0"/>
        </w:rPr>
        <w:t xml:space="preserve">solicited adverse reactions (ARs) were predominantly mild or moderate in severity and most </w:t>
      </w:r>
      <w:r>
        <w:rPr>
          <w:b w:val="0"/>
          <w:i w:val="0"/>
        </w:rPr>
        <w:t xml:space="preserve">commonly included fatigue, chills, headache, myalgia, and pain at the injection site. The incidence </w:t>
      </w:r>
      <w:r>
        <w:rPr>
          <w:b w:val="0"/>
          <w:i w:val="0"/>
        </w:rPr>
        <w:t xml:space="preserve">and severity of solicited ARs were generally dose dependent and increases in incidence and </w:t>
      </w:r>
      <w:r>
        <w:rPr>
          <w:b w:val="0"/>
          <w:i w:val="0"/>
        </w:rPr>
        <w:t xml:space="preserve">severity were generally observed after the second injection. The incidence of systemic reactions </w:t>
      </w:r>
      <w:r>
        <w:rPr>
          <w:b w:val="0"/>
          <w:i w:val="0"/>
        </w:rPr>
        <w:t xml:space="preserve">increased after the second injection, particularly at the highest (250 µg) dose. Four (27%) </w:t>
      </w:r>
      <w:r>
        <w:rPr>
          <w:b w:val="0"/>
          <w:i w:val="0"/>
        </w:rPr>
        <w:t xml:space="preserve">participants in the 250 μg dose cohort reported at least 1 severe solicited AR after the second </w:t>
      </w:r>
      <w:r>
        <w:rPr>
          <w:b w:val="0"/>
          <w:i w:val="0"/>
        </w:rPr>
        <w:t xml:space="preserve">injection, including feverishness, fatigue, fever, headache, myalgia, nausea, and erythema/redness. </w:t>
      </w:r>
      <w:r>
        <w:rPr>
          <w:b w:val="0"/>
          <w:i w:val="0"/>
        </w:rPr>
        <w:t xml:space="preserve">No serious adverse events (SAEs) were reported through Day 119, and no pause rules were </w:t>
      </w:r>
      <w:r>
        <w:rPr>
          <w:b w:val="0"/>
          <w:i w:val="0"/>
        </w:rPr>
        <w:t xml:space="preserve">triggered during the study. mRNA-1273 induced robust binding antibody (bAb) responses after </w:t>
      </w:r>
      <w:r>
        <w:rPr>
          <w:b w:val="0"/>
          <w:i w:val="0"/>
        </w:rPr>
        <w:t xml:space="preserve">2 injections. Notably, 100 µg of mRNA-1273 resulted in numerically higher S-2P-specific binding </w:t>
      </w:r>
      <w:r>
        <w:rPr>
          <w:b w:val="0"/>
          <w:i w:val="0"/>
        </w:rPr>
        <w:t xml:space="preserve">titers than 25 µg and 50 µg of mRNA-1273 in all age groups. Two injections of mRNA-1273 also </w:t>
      </w:r>
      <w:r>
        <w:rPr>
          <w:b w:val="0"/>
          <w:i w:val="0"/>
        </w:rPr>
        <w:t xml:space="preserve">induced robust nAb responses. The nAb response was marginal after the first injection but </w:t>
      </w:r>
      <w:r>
        <w:rPr>
          <w:b w:val="0"/>
          <w:i w:val="0"/>
        </w:rPr>
        <w:t xml:space="preserve">increased substantially after the second injection. The nAb response assessed by a pseudovirus </w:t>
      </w:r>
      <w:r>
        <w:rPr>
          <w:b w:val="0"/>
          <w:i w:val="0"/>
        </w:rPr>
        <w:t xml:space="preserve">neutralization assay at the 100 µg mRNA-1273 dose level was similar to that at the 250 µg </w:t>
      </w:r>
      <w:r>
        <w:rPr>
          <w:b w:val="0"/>
          <w:i w:val="0"/>
        </w:rPr>
        <w:t xml:space="preserve">mRNA-1273 dose level in the 18 to 55 years of age group and numerically higher than that </w:t>
      </w:r>
      <w:r>
        <w:rPr>
          <w:b w:val="0"/>
          <w:i w:val="0"/>
        </w:rPr>
        <w:t xml:space="preserve">observed at the 25 µg and 50 µg mRNA-1273 dose levels in the older age groups. The nAb </w:t>
      </w:r>
      <w:r>
        <w:rPr>
          <w:b w:val="0"/>
          <w:i w:val="0"/>
        </w:rPr>
        <w:t xml:space="preserve">response at the 100 µg dose level was similar across all age groups. </w:t>
      </w:r>
      <w:r>
        <w:rPr>
          <w:b w:val="0"/>
          <w:i w:val="0"/>
        </w:rPr>
        <w:t xml:space="preserve">mRNA-1273-P201 (Study 201; </w:t>
      </w:r>
      <w:r>
        <w:rPr>
          <w:b w:val="0"/>
          <w:i w:val="0"/>
        </w:rPr>
        <w:t>NCT04405076</w:t>
      </w:r>
      <w:r>
        <w:rPr>
          <w:b w:val="0"/>
          <w:i w:val="0"/>
        </w:rPr>
        <w:t xml:space="preserve">) is an ongoing Phase 2a, safety, reactogenicity, and </w:t>
      </w:r>
      <w:r>
        <w:rPr>
          <w:b w:val="0"/>
          <w:i w:val="0"/>
        </w:rPr>
        <w:t xml:space="preserve">immunogenicity study in healthy adults that provided confirmation of the immunogenicity of both </w:t>
      </w:r>
      <w:r>
        <w:rPr>
          <w:b w:val="0"/>
          <w:i w:val="0"/>
        </w:rPr>
        <w:t xml:space="preserve">the 100 μg and 50 µg doses. The study was designed as a randomized, observer-blind, </w:t>
      </w:r>
      <w:r>
        <w:rPr>
          <w:b w:val="0"/>
          <w:i w:val="0"/>
        </w:rPr>
        <w:t xml:space="preserve">placebo-controlled dose confirmation study (Part A). Two mRNA-1273 dose levels, 50 μg and </w:t>
      </w:r>
      <w:r>
        <w:rPr>
          <w:b w:val="0"/>
          <w:i w:val="0"/>
        </w:rPr>
        <w:t xml:space="preserve">100 μg, and placebo were evaluated in 2 age cohorts: Cohort 1 enrolled participants ≥ 18 to </w:t>
      </w:r>
      <w:r>
        <w:rPr>
          <w:b w:val="0"/>
          <w:i w:val="0"/>
        </w:rPr>
        <w:t xml:space="preserve">&lt; 55 years old (300 participants), and Cohort 2 enrolled participants ≥ 55 years old </w:t>
      </w:r>
      <w:r>
        <w:rPr>
          <w:b w:val="0"/>
          <w:i w:val="0"/>
        </w:rPr>
        <w:t xml:space="preserve">(300 participants). A total of 600 participants received either mRNA-1273 or placebo according </w:t>
      </w:r>
      <w:r>
        <w:rPr>
          <w:b w:val="0"/>
          <w:i w:val="0"/>
        </w:rPr>
        <w:t xml:space="preserve">to a 1:1:1 randomization ratio; ie, within each age cohort, 100 participants each received </w:t>
      </w:r>
      <w:r>
        <w:rPr>
          <w:b w:val="0"/>
          <w:i w:val="0"/>
        </w:rPr>
        <w:t xml:space="preserve">mRNA-1273 50 μg, mRNA-1273 100 μg, or placebo. mRNA-1273 demonstrated an acceptable </w:t>
      </w:r>
      <w:r>
        <w:rPr>
          <w:b w:val="0"/>
          <w:i w:val="0"/>
        </w:rPr>
        <w:t xml:space="preserve">safety profile in the participant population enrolled in this study at both dose levels and both age </w:t>
      </w:r>
      <w:r>
        <w:rPr>
          <w:b w:val="0"/>
          <w:i w:val="0"/>
        </w:rPr>
        <w:t xml:space="preserve">cohorts, as observed through 6 months after the second injection.  </w:t>
      </w:r>
      <w:r>
        <w:rPr>
          <w:b w:val="0"/>
          <w:i w:val="0"/>
        </w:rPr>
        <w:t xml:space="preserve">An amendment to the Study 201 protocol adapted the study design to include open-label </w:t>
      </w:r>
      <w:r>
        <w:rPr>
          <w:b w:val="0"/>
          <w:i w:val="0"/>
        </w:rPr>
        <w:t xml:space="preserve">interventional phases (Part B and Part C). Part B allowed unblinding of participants and offered </w:t>
      </w:r>
      <w:r>
        <w:rPr>
          <w:b w:val="0"/>
          <w:i w:val="0"/>
        </w:rPr>
        <w:t xml:space="preserve">2 injections of mRNA-1273 in an open-label manner, 28 days apart, to all participants who </w:t>
      </w:r>
      <w:r>
        <w:rPr>
          <w:b w:val="0"/>
          <w:i w:val="0"/>
        </w:rPr>
        <w:t xml:space="preserve">received placebo in Part A. Part B also offered a single booster dose (BD) of mRNA-1273 (50 μg)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