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7.3.</w:t>
      </w:r>
    </w:p>
    <w:p>
      <w:r>
        <w:rPr>
          <w:b/>
        </w:rPr>
        <w:t>Participant Withdrawal From the Study</w:t>
      </w:r>
    </w:p>
    <w:p>
      <w:r>
        <w:rPr>
          <w:b/>
        </w:rPr>
        <w:t>7.3.1.</w:t>
      </w:r>
    </w:p>
    <w:p>
      <w:r>
        <w:rPr>
          <w:b/>
        </w:rPr>
        <w:t>Participant Withdrawal</w:t>
      </w:r>
    </w:p>
    <w:p>
      <w:r>
        <w:rPr>
          <w:b w:val="0"/>
          <w:i w:val="0"/>
        </w:rPr>
        <w:t xml:space="preserve">Participants who withdraw from the study will not be replaced. A “withdrawal” from the study </w:t>
      </w:r>
      <w:r>
        <w:rPr>
          <w:b w:val="0"/>
          <w:i w:val="0"/>
        </w:rPr>
        <w:t xml:space="preserve">refers to a situation wherein a participant does not return for the final visit planned in the protocol. </w:t>
      </w:r>
      <w:r>
        <w:rPr>
          <w:b w:val="0"/>
          <w:i w:val="0"/>
        </w:rPr>
        <w:t xml:space="preserve">The statistical management of participant withdrawals is discussed in </w:t>
      </w:r>
      <w:r>
        <w:rPr>
          <w:b w:val="0"/>
          <w:i w:val="0"/>
        </w:rPr>
        <w:t>Section 9</w:t>
      </w:r>
      <w:r>
        <w:rPr>
          <w:b w:val="0"/>
          <w:i w:val="0"/>
        </w:rPr>
        <w:t xml:space="preserve">. </w:t>
      </w:r>
      <w:r>
        <w:rPr>
          <w:b w:val="0"/>
          <w:i w:val="0"/>
        </w:rPr>
        <w:t xml:space="preserve">Participants can withdraw consent and withdraw from the study at any time, for any reason, </w:t>
      </w:r>
      <w:r>
        <w:rPr>
          <w:b w:val="0"/>
          <w:i w:val="0"/>
        </w:rPr>
        <w:t xml:space="preserve">without prejudice to further treatment the participant may need to receive. The investigator will </w:t>
      </w:r>
      <w:r>
        <w:rPr>
          <w:b w:val="0"/>
          <w:i w:val="0"/>
        </w:rPr>
        <w:t xml:space="preserve">request that the study participant complete all study procedures pending at the time of withdrawal. </w:t>
      </w:r>
      <w:r>
        <w:rPr>
          <w:b w:val="0"/>
          <w:i w:val="0"/>
        </w:rPr>
        <w:t xml:space="preserve">A participant who withdraws consent or who is withdrawn from the study may request destruction </w:t>
      </w:r>
      <w:r>
        <w:rPr>
          <w:b w:val="0"/>
          <w:i w:val="0"/>
        </w:rPr>
        <w:t xml:space="preserve">of any samples taken and not tested, and the investigator must document this in the site study </w:t>
      </w:r>
      <w:r>
        <w:rPr>
          <w:b w:val="0"/>
          <w:i w:val="0"/>
        </w:rPr>
        <w:t xml:space="preserve">records. If the participant withdraws consent for disclosure of future information, the Sponsor may </w:t>
      </w:r>
      <w:r>
        <w:rPr>
          <w:b w:val="0"/>
          <w:i w:val="0"/>
        </w:rPr>
        <w:t xml:space="preserve">retain and continue to use any data collected before such a withdrawal of consent (see </w:t>
      </w:r>
      <w:r>
        <w:rPr>
          <w:b w:val="0"/>
          <w:i w:val="0"/>
        </w:rPr>
        <w:t>Section 11.2.10</w:t>
      </w:r>
      <w:r>
        <w:rPr>
          <w:b w:val="0"/>
          <w:i w:val="0"/>
        </w:rPr>
        <w:t xml:space="preserve">). </w:t>
      </w:r>
      <w:r>
        <w:rPr>
          <w:b w:val="0"/>
          <w:i w:val="0"/>
        </w:rPr>
        <w:t xml:space="preserve">The Sponsor will continue to retain and use all research results that have already been collected </w:t>
      </w:r>
      <w:r>
        <w:rPr>
          <w:b w:val="0"/>
          <w:i w:val="0"/>
        </w:rPr>
        <w:t xml:space="preserve">for the study evaluation, unless the participant has requested destruction of these samples. All </w:t>
      </w:r>
      <w:r>
        <w:rPr>
          <w:b w:val="0"/>
          <w:i w:val="0"/>
        </w:rPr>
        <w:t xml:space="preserve">biological samples that have already been collected may be retained and analyzed at a later date </w:t>
      </w:r>
      <w:r>
        <w:rPr>
          <w:b w:val="0"/>
          <w:i w:val="0"/>
        </w:rPr>
        <w:t xml:space="preserve">(or as permitted by local regulations). </w:t>
      </w:r>
      <w:r>
        <w:rPr>
          <w:b w:val="0"/>
          <w:i w:val="0"/>
        </w:rPr>
        <w:t xml:space="preserve">If participant desires to withdraw from the study because of an AE, the investigator will try to </w:t>
      </w:r>
      <w:r>
        <w:rPr>
          <w:b w:val="0"/>
          <w:i w:val="0"/>
        </w:rPr>
        <w:t xml:space="preserve">obtain agreement to follow up with the participant until the event is considered resolved or stable </w:t>
      </w:r>
      <w:r>
        <w:rPr>
          <w:b w:val="0"/>
          <w:i w:val="0"/>
        </w:rPr>
        <w:t xml:space="preserve">and will then complete the end of study eCRF. </w:t>
      </w:r>
      <w:r>
        <w:rPr>
          <w:b w:val="0"/>
          <w:i w:val="0"/>
        </w:rPr>
        <w:t xml:space="preserve">Information related to the withdrawal will be documented in the eCRF. The investigator will </w:t>
      </w:r>
      <w:r>
        <w:rPr>
          <w:b w:val="0"/>
          <w:i w:val="0"/>
        </w:rPr>
        <w:t xml:space="preserve">document whether the decision to withdraw a participant from the study was made by the </w:t>
      </w:r>
      <w:r>
        <w:rPr>
          <w:b w:val="0"/>
          <w:i w:val="0"/>
        </w:rPr>
        <w:t xml:space="preserve">participant or by the investigator, as well as which of the following possible reasons was </w:t>
      </w:r>
      <w:r>
        <w:rPr>
          <w:b w:val="0"/>
          <w:i w:val="0"/>
        </w:rPr>
        <w:t xml:space="preserve">responsible for withdrawal: </w:t>
      </w:r>
      <w:r>
        <w:rPr>
          <w:b w:val="0"/>
          <w:i w:val="0"/>
        </w:rPr>
        <w:t xml:space="preserve">ModernaTX, Inc. </w:t>
      </w:r>
      <w:r>
        <w:rPr>
          <w:b w:val="0"/>
          <w:i w:val="0"/>
        </w:rPr>
        <w:t xml:space="preserve">07 Apr 2022 </w:t>
      </w:r>
      <w:r>
        <w:rPr>
          <w:b w:val="0"/>
          <w:i w:val="0"/>
        </w:rPr>
        <w:t xml:space="preserve">mRNA-1273 </w:t>
      </w:r>
    </w:p>
    <w:p>
      <w:pPr>
        <w:pStyle w:val="ListBullet"/>
      </w:pPr>
      <w:r>
        <w:t>AE (specify)</w:t>
      </w:r>
    </w:p>
    <w:p>
      <w:pPr>
        <w:pStyle w:val="ListBullet"/>
      </w:pPr>
      <w:r>
        <w:t>SAE (specify)</w:t>
      </w:r>
    </w:p>
    <w:p>
      <w:pPr>
        <w:pStyle w:val="ListBullet"/>
      </w:pPr>
      <w:r>
        <w:t>Death</w:t>
      </w:r>
    </w:p>
    <w:p>
      <w:pPr>
        <w:pStyle w:val="ListBullet"/>
      </w:pPr>
      <w:r>
        <w:t>Lost to follow-up (LTFU)</w:t>
      </w:r>
    </w:p>
    <w:p>
      <w:pPr>
        <w:pStyle w:val="ListBullet"/>
      </w:pPr>
      <w:r>
        <w:t>Physician decision (specify)</w:t>
      </w:r>
    </w:p>
    <w:p>
      <w:pPr>
        <w:pStyle w:val="ListBullet"/>
      </w:pPr>
      <w:r>
        <w:t>Pregnancy</w:t>
      </w:r>
    </w:p>
    <w:p>
      <w:pPr>
        <w:pStyle w:val="ListBullet"/>
      </w:pPr>
      <w:r>
        <w:t>Protocol deviation</w:t>
      </w:r>
    </w:p>
    <w:p>
      <w:pPr>
        <w:pStyle w:val="ListBullet"/>
      </w:pPr>
      <w:r>
        <w:t>Study terminated by Sponsor</w:t>
      </w:r>
    </w:p>
    <w:p>
      <w:pPr>
        <w:pStyle w:val="ListBullet"/>
      </w:pPr>
      <w:r>
        <w:t>Withdrawal of consent by participant (specify); this includes participants who, at the PDV, withdraw consent from continuing in the study.</w:t>
      </w:r>
    </w:p>
    <w:p>
      <w:pPr>
        <w:pStyle w:val="ListBullet"/>
      </w:pPr>
      <w:r>
        <w:t>Other (specify) Participants who are withdrawn from the study because of AEs (including SAEs) must be clearly distinguished from participants who are withdrawn for other reasons. Investigators will follow up with participants who are withdrawn from the study as result of an SAE or AE until resolution of the event. Participants who are confirmed to have received placebo upon unblinding and intend to receive a COVID-19 vaccine either licensed or under an EUA outside of this study will be withdrawn from the study. In addition, any participant confirmed to have received or plans to receive a non-study COVID-19 vaccine for their primary series or first booster only, either licensed or under EUA, will be withdrawn from the study. If a participant has an ongoing AE or pregnancy at the time of receipt of a non-study COVID-19 primary series or first booster vaccine, the participant will remain in the study to allow follow-up until the resolution of the event. Participants receiving a second or subsequent non-study COVID-19 boosters will remain in the study and follow all study procedures.</w:t>
      </w:r>
    </w:p>
    <w:p>
      <w:r>
        <w:rPr>
          <w:b/>
        </w:rPr>
        <w:t>7.4.</w:t>
      </w:r>
    </w:p>
    <w:p>
      <w:r>
        <w:rPr>
          <w:b/>
        </w:rPr>
        <w:t>Lost to Follow-up</w:t>
      </w:r>
    </w:p>
    <w:p>
      <w:r>
        <w:rPr>
          <w:b w:val="0"/>
          <w:i w:val="0"/>
        </w:rPr>
        <w:t xml:space="preserve">Participants will be considered LTFU if they repeatedly fail to return for scheduled visits without </w:t>
      </w:r>
      <w:r>
        <w:rPr>
          <w:b w:val="0"/>
          <w:i w:val="0"/>
        </w:rPr>
        <w:t xml:space="preserve">stating an intention to withdraw consent and they cannot be contacted by the study site. The </w:t>
      </w:r>
      <w:r>
        <w:rPr>
          <w:b w:val="0"/>
          <w:i w:val="0"/>
        </w:rPr>
        <w:t xml:space="preserve">following actions must be taken if a participant fails to return to the clinic for a required study </w:t>
      </w:r>
      <w:r>
        <w:rPr>
          <w:b w:val="0"/>
          <w:i w:val="0"/>
        </w:rPr>
        <w:t xml:space="preserve">visit: </w:t>
      </w:r>
    </w:p>
    <w:p>
      <w:pPr>
        <w:pStyle w:val="ListBullet"/>
      </w:pPr>
      <w:r>
        <w:t>The site must attempt to contact the participant and reschedule the missed visit as soon as possible, counsel the participant on the importance of maintaining the assigned visit schedule, and ascertain whether the participant wishes to and/or should continue in the study. ModernaTX, Inc. 07 Apr 2022 mRNA-1273</w:t>
      </w:r>
    </w:p>
    <w:p>
      <w:pPr>
        <w:pStyle w:val="ListBullet"/>
      </w:pPr>
      <w:r>
        <w:t>Before a participant is deemed LTFU, the investigator or designee must make every effort to regain contact with the participant (where possible, 3 telephone calls and, if necessary, a certified letter to the participant’s last known mailing address or local equivalent methods). These contact attempts (eg, dates of telephone calls and registered letters) should be documented in the participant’s medical record. A participant should not be considered LTFU until these efforts have been made.</w:t>
      </w:r>
    </w:p>
    <w:p>
      <w:pPr>
        <w:pStyle w:val="ListBullet"/>
      </w:pPr>
      <w:r>
        <w:t>Should the participant continue to be unreachable, he/she will be considered to have withdrawn from the study.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