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9.5.3.</w:t>
      </w:r>
    </w:p>
    <w:p>
      <w:r>
        <w:rPr>
          <w:b/>
        </w:rPr>
        <w:t>Immunogenicity Analyses</w:t>
      </w:r>
    </w:p>
    <w:p>
      <w:r>
        <w:rPr>
          <w:b w:val="0"/>
          <w:i w:val="0"/>
        </w:rPr>
        <w:t xml:space="preserve">The secondary immunogenicity endpoints will be analyzed using the Immunogenicity Subset by </w:t>
      </w:r>
      <w:r>
        <w:rPr>
          <w:b w:val="0"/>
          <w:i w:val="0"/>
        </w:rPr>
        <w:t xml:space="preserve">treatment group, by treatment cohort as applicable, and by baseline SARS-CoV-2 serostatus, </w:t>
      </w:r>
      <w:r>
        <w:rPr>
          <w:b w:val="0"/>
          <w:i w:val="0"/>
        </w:rPr>
        <w:t xml:space="preserve">unless otherwise specified. Details for immunogenicity analyses will be provided in the SAP. </w:t>
      </w:r>
      <w:r>
        <w:rPr>
          <w:b w:val="0"/>
          <w:i w:val="0"/>
        </w:rPr>
        <w:t xml:space="preserve">The SAP will describe the complete set of immunogenicity analyses, including the approach to </w:t>
      </w:r>
      <w:r>
        <w:rPr>
          <w:b w:val="0"/>
          <w:i w:val="0"/>
        </w:rPr>
        <w:t xml:space="preserve">sample individuals into an Immunogenicity Subset for characterizing mRNA-1273 </w:t>
      </w:r>
      <w:r>
        <w:rPr>
          <w:b w:val="0"/>
          <w:i w:val="0"/>
        </w:rPr>
        <w:t xml:space="preserve">immunogenicity and assessing immunological correlates of risk and protection. </w:t>
      </w:r>
    </w:p>
    <w:p>
      <w:r>
        <w:rPr>
          <w:b/>
        </w:rPr>
        <w:t>9.5.3.1.</w:t>
      </w:r>
    </w:p>
    <w:p>
      <w:r>
        <w:rPr>
          <w:b/>
        </w:rPr>
        <w:t>Part A</w:t>
      </w:r>
    </w:p>
    <w:p>
      <w:r>
        <w:rPr>
          <w:b w:val="0"/>
          <w:i w:val="0"/>
        </w:rPr>
        <w:t xml:space="preserve">Data from quantitative immunogenicity assays will be summarized for each treatment group using </w:t>
      </w:r>
      <w:r>
        <w:rPr>
          <w:b w:val="0"/>
          <w:i w:val="0"/>
        </w:rPr>
        <w:t xml:space="preserve">positive response rates and geometric means with 95% Cis, for each timepoint for which an </w:t>
      </w:r>
      <w:r>
        <w:rPr>
          <w:b w:val="0"/>
          <w:i w:val="0"/>
        </w:rPr>
        <w:t xml:space="preserve">assessment is performed. Data from qualitative (ie, yielding a positive or negative result) assays </w:t>
      </w:r>
      <w:r>
        <w:rPr>
          <w:b w:val="0"/>
          <w:i w:val="0"/>
        </w:rPr>
        <w:t xml:space="preserve">will be summarized by tabulating the frequency of positive responses for each assay by group at </w:t>
      </w:r>
      <w:r>
        <w:rPr>
          <w:b w:val="0"/>
          <w:i w:val="0"/>
        </w:rPr>
        <w:t xml:space="preserve">each timepoint that an assessment is performed. Analyses will focus on the 2 key immunogenicity </w:t>
      </w:r>
      <w:r>
        <w:rPr>
          <w:b w:val="0"/>
          <w:i w:val="0"/>
        </w:rPr>
        <w:t xml:space="preserve">ModernaTX, Inc. </w:t>
      </w:r>
      <w:r>
        <w:rPr>
          <w:b w:val="0"/>
          <w:i w:val="0"/>
        </w:rPr>
        <w:t xml:space="preserve">07 Apr 2022 </w:t>
      </w:r>
      <w:r>
        <w:rPr>
          <w:b w:val="0"/>
          <w:i w:val="0"/>
        </w:rPr>
        <w:t xml:space="preserve">mRNA-1273 </w:t>
      </w:r>
    </w:p>
    <w:p>
      <w:r>
        <w:rPr>
          <w:b w:val="0"/>
          <w:i w:val="0"/>
        </w:rPr>
        <w:t xml:space="preserve">timepoints and the change in marker response between them: Day 1 before the first dose of IP and </w:t>
      </w:r>
      <w:r>
        <w:rPr>
          <w:b w:val="0"/>
          <w:i w:val="0"/>
        </w:rPr>
        <w:t xml:space="preserve">Day 57 (28 days after the second dose of IP). The SAP will describe the complete set of </w:t>
      </w:r>
      <w:r>
        <w:rPr>
          <w:b w:val="0"/>
          <w:i w:val="0"/>
        </w:rPr>
        <w:t xml:space="preserve">immunogenicity analyses. </w:t>
      </w:r>
      <w:r>
        <w:rPr>
          <w:b w:val="0"/>
          <w:i w:val="0"/>
        </w:rPr>
        <w:t xml:space="preserve">Quantitative levels or geometric mean titer (GMT) of specific bAb with corresponding 95% CI at </w:t>
      </w:r>
      <w:r>
        <w:rPr>
          <w:b w:val="0"/>
          <w:i w:val="0"/>
        </w:rPr>
        <w:t xml:space="preserve">each timepoint and geometric mean fold rise (GMFR) of specific bAb with corresponding 95% CI </w:t>
      </w:r>
      <w:r>
        <w:rPr>
          <w:b w:val="0"/>
          <w:i w:val="0"/>
        </w:rPr>
        <w:t xml:space="preserve">at each postbaseline timepoint over pre-dose baseline at Day 1 will be provided by study arm. </w:t>
      </w:r>
      <w:r>
        <w:rPr>
          <w:b w:val="0"/>
          <w:i w:val="0"/>
        </w:rPr>
        <w:t xml:space="preserve">Descriptive summary statistics including median, minimum, and maximum will also be provided. </w:t>
      </w:r>
      <w:r>
        <w:rPr>
          <w:b w:val="0"/>
          <w:i w:val="0"/>
        </w:rPr>
        <w:t xml:space="preserve">The GMT of specific nAb with corresponding 95% CI at each timepoint and GMFR of specific </w:t>
      </w:r>
      <w:r>
        <w:rPr>
          <w:b w:val="0"/>
          <w:i w:val="0"/>
        </w:rPr>
        <w:t xml:space="preserve">nAb with corresponding 95% CI at each postbaseline timepoint over pre-dose baseline at Day 1 </w:t>
      </w:r>
      <w:r>
        <w:rPr>
          <w:b w:val="0"/>
          <w:i w:val="0"/>
        </w:rPr>
        <w:t xml:space="preserve">will be provided by study arm. Descriptive summary statistics including median, minimum, and </w:t>
      </w:r>
      <w:r>
        <w:rPr>
          <w:b w:val="0"/>
          <w:i w:val="0"/>
        </w:rPr>
        <w:t xml:space="preserve">maximum will also be provided. For summarizations of group values, Ab values reported as below </w:t>
      </w:r>
      <w:r>
        <w:rPr>
          <w:b w:val="0"/>
          <w:i w:val="0"/>
        </w:rPr>
        <w:t xml:space="preserve">the LLOQ will be replaced by 0.5 × LLOQ. Values that are reported as greater than the upper limit </w:t>
      </w:r>
      <w:r>
        <w:rPr>
          <w:b w:val="0"/>
          <w:i w:val="0"/>
        </w:rPr>
        <w:t xml:space="preserve">of quantification (ULOQ) without the actual values will be converted to the ULOQ. </w:t>
      </w:r>
      <w:r>
        <w:rPr>
          <w:b w:val="0"/>
          <w:i w:val="0"/>
        </w:rPr>
        <w:t xml:space="preserve">The number and percentage of participants with a fold rise ≥ 2, ≥ 3, and ≥ 4 of serum </w:t>
      </w:r>
      <w:r>
        <w:rPr>
          <w:b w:val="0"/>
          <w:i w:val="0"/>
        </w:rPr>
        <w:t xml:space="preserve">SARS-CoV-2-specific nAb titers and participants with seroresponse from baseline will be </w:t>
      </w:r>
      <w:r>
        <w:rPr>
          <w:b w:val="0"/>
          <w:i w:val="0"/>
        </w:rPr>
        <w:t xml:space="preserve">provided with 2-sided 95% CI using the Clopper-Pearson method at each post-baseline timepoint. </w:t>
      </w:r>
      <w:r>
        <w:rPr>
          <w:b w:val="0"/>
          <w:i w:val="0"/>
        </w:rPr>
        <w:t xml:space="preserve">Seroresponse at a participant level may be defined as a change from below the LLOQ to at least 4 </w:t>
      </w:r>
      <w:r>
        <w:rPr>
          <w:b w:val="0"/>
          <w:i w:val="0"/>
        </w:rPr>
        <w:t xml:space="preserve">times the LLOQ, or at least a 4-fold rise in nAb or vaccine antigen-specific bAb in participants </w:t>
      </w:r>
      <w:r>
        <w:rPr>
          <w:b w:val="0"/>
          <w:i w:val="0"/>
        </w:rPr>
        <w:t xml:space="preserve">with pre-existing nAb or bAb of at least the LLOQ at baseline/pre-vaccination. Seroresponse may </w:t>
      </w:r>
      <w:r>
        <w:rPr>
          <w:b w:val="0"/>
          <w:i w:val="0"/>
        </w:rPr>
        <w:t xml:space="preserve">also be defined for each specific assay assessing nAb or bAb. The definition of seroresponse will </w:t>
      </w:r>
      <w:r>
        <w:rPr>
          <w:b w:val="0"/>
          <w:i w:val="0"/>
        </w:rPr>
        <w:t xml:space="preserve">be finalized and documented in the SAP.  </w:t>
      </w:r>
      <w:r>
        <w:rPr>
          <w:b w:val="0"/>
          <w:i w:val="0"/>
        </w:rPr>
        <w:t xml:space="preserve">The GMT of specific nAb for each group and the geometric mean ratio (GMR) of mRNA-1273 </w:t>
      </w:r>
      <w:r>
        <w:rPr>
          <w:b w:val="0"/>
          <w:i w:val="0"/>
        </w:rPr>
        <w:t xml:space="preserve">versus placebo in Part A with corresponding 2-sided 95% CI will be estimated at each study </w:t>
      </w:r>
      <w:r>
        <w:rPr>
          <w:b w:val="0"/>
          <w:i w:val="0"/>
        </w:rPr>
        <w:t xml:space="preserve">timepoint using an analysis of covariance model with the treatment group and baseline values, if </w:t>
      </w:r>
      <w:r>
        <w:rPr>
          <w:b w:val="0"/>
          <w:i w:val="0"/>
        </w:rPr>
        <w:t>applicable, as explanatory variables, the analysis may adjust for the stratification factor (</w:t>
      </w:r>
      <w:r>
        <w:rPr>
          <w:b w:val="0"/>
          <w:i w:val="0"/>
        </w:rPr>
        <w:t>Table 13</w:t>
      </w:r>
      <w:r>
        <w:rPr>
          <w:b w:val="0"/>
          <w:i w:val="0"/>
        </w:rPr>
        <w:t>).</w:t>
      </w:r>
      <w:r>
        <w:rPr>
          <w:b/>
          <w:i w:val="0"/>
        </w:rPr>
        <w:t xml:space="preserve"> </w:t>
      </w:r>
    </w:p>
    <w:p>
      <w:r>
        <w:rPr>
          <w:b/>
        </w:rPr>
        <w:t>Table 13:</w:t>
      </w:r>
    </w:p>
    <w:p>
      <w:r>
        <w:rPr>
          <w:b/>
        </w:rPr>
        <w:t>Immunogenicity Endpoints and Statistical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Statistical Analysis Methods</w:t>
            </w:r>
          </w:p>
        </w:tc>
      </w:tr>
      <w:tr>
        <w:tc>
          <w:tcPr>
            <w:tcW w:type="dxa" w:w="4320"/>
          </w:tcPr>
          <w:p>
            <w:r>
              <w:t>Specific bAb and nAb titers/values</w:t>
            </w:r>
          </w:p>
        </w:tc>
        <w:tc>
          <w:tcPr>
            <w:tcW w:type="dxa" w:w="4320"/>
          </w:tcPr>
          <w:p>
            <w:r>
              <w:t>• GMT of each group, GMR (mRNA-1273 vs. placebo)</w:t>
              <w:br/>
              <w:t>• GMT estimated by the ANCOVA model</w:t>
            </w:r>
          </w:p>
        </w:tc>
      </w:tr>
      <w:tr>
        <w:tc>
          <w:tcPr>
            <w:tcW w:type="dxa" w:w="4320"/>
          </w:tcPr>
          <w:p>
            <w:r>
              <w:t>Fold rise</w:t>
            </w:r>
          </w:p>
        </w:tc>
        <w:tc>
          <w:tcPr>
            <w:tcW w:type="dxa" w:w="4320"/>
          </w:tcPr>
          <w:p>
            <w:r>
              <w:t>• GMFR – descriptive statistics</w:t>
              <w:br/>
              <w:t>• Binomial endpoints of fold rise ≥ 2, 3, and 4, and</w:t>
              <w:br/>
              <w:t>seroconversion due to vaccination – the Clopper-Pearson</w:t>
              <w:br/>
              <w:t>method</w:t>
            </w:r>
          </w:p>
        </w:tc>
      </w:tr>
    </w:tbl>
    <w:p>
      <w:r>
        <w:rPr>
          <w:b/>
        </w:rPr>
        <w:t>Endpoint</w:t>
      </w:r>
    </w:p>
    <w:p>
      <w:r>
        <w:rPr>
          <w:b/>
        </w:rPr>
        <w:t>Statistical Analysis Methods</w:t>
      </w:r>
    </w:p>
    <w:p>
      <w:pPr>
        <w:pStyle w:val="ListBullet2"/>
      </w:pPr>
      <w:r>
        <w:t>GMT of each group, GMR (mRNA-1273 vs. placebo) Specific bAb and nAb titers/values</w:t>
      </w:r>
    </w:p>
    <w:p>
      <w:pPr>
        <w:pStyle w:val="ListBullet2"/>
      </w:pPr>
      <w:r>
        <w:t>GMT estimated by the ANCOVA model • GMFR – descriptive statistics • Binomial endpoints of fold rise ≥ 2, 3, and 4, and Fold rise seroconversion due to vaccination – the Clopper-Pearson method Abbreviations: ANCOVA = analysis of covariance; bAb = binding antibody; GMFR = geometric mean fold rise, GMR = geometric mean ratio; GMT = geometric mean titer; nAb = neutralizing antibody. ModernaTX, Inc. 07 Apr 2022 mRNA-1273</w:t>
      </w:r>
    </w:p>
    <w:p>
      <w:r>
        <w:rPr>
          <w:b/>
        </w:rPr>
        <w:t>9.5.3.2.</w:t>
      </w:r>
    </w:p>
    <w:p>
      <w:r>
        <w:rPr>
          <w:b/>
        </w:rPr>
        <w:t>Part C</w:t>
      </w:r>
    </w:p>
    <w:p>
      <w:r>
        <w:rPr>
          <w:b w:val="0"/>
          <w:i w:val="0"/>
        </w:rPr>
        <w:t xml:space="preserve">In Part C, the immunogenicity analysis of BD vaccine response will be performed using the </w:t>
      </w:r>
      <w:r>
        <w:rPr>
          <w:b w:val="0"/>
          <w:i w:val="0"/>
        </w:rPr>
        <w:t xml:space="preserve">noninferiority tests of the 2 null hypotheses based on the 2 key secondary endpoints, respectively. </w:t>
      </w:r>
      <w:r>
        <w:rPr>
          <w:b w:val="0"/>
          <w:i w:val="0"/>
        </w:rPr>
        <w:t xml:space="preserve">Further considerations for immunogenicity analyses are provided in the SAP. </w:t>
      </w:r>
    </w:p>
    <w:p>
      <w:r>
        <w:rPr>
          <w:b/>
        </w:rPr>
        <w:t>Part C Key Secondary Endpoint 1: Ab GMT at BD-Day 29</w:t>
      </w:r>
    </w:p>
    <w:p>
      <w:r>
        <w:rPr>
          <w:b w:val="0"/>
          <w:i w:val="0"/>
        </w:rPr>
        <w:t xml:space="preserve">Hypothesis: immunogenicity response to mRNA-1273 BD as measured by Ab GMT at BD-Day 29 </w:t>
      </w:r>
      <w:r>
        <w:rPr>
          <w:b w:val="0"/>
          <w:i w:val="0"/>
        </w:rPr>
        <w:t xml:space="preserve">in Part C is noninferior compared with Ab GMT at Day 57 (28 days after second dose) in the </w:t>
      </w:r>
      <w:r>
        <w:rPr>
          <w:b w:val="0"/>
          <w:i w:val="0"/>
        </w:rPr>
        <w:t xml:space="preserve">primary series of mRNA-1273. </w:t>
      </w:r>
      <w:r>
        <w:rPr>
          <w:b w:val="0"/>
          <w:i w:val="0"/>
        </w:rPr>
        <w:t xml:space="preserve">The noninferiority of post-booster GMT at BD-Day 29 in Part C as compared to the primary series </w:t>
      </w:r>
      <w:r>
        <w:rPr>
          <w:b w:val="0"/>
          <w:i w:val="0"/>
        </w:rPr>
        <w:t xml:space="preserve">at Day 57 is considered to be demonstrated if the lower bound of the 95% CI of the GMR (ratio of </w:t>
      </w:r>
      <w:r>
        <w:rPr>
          <w:b w:val="0"/>
          <w:i w:val="0"/>
        </w:rPr>
        <w:t xml:space="preserve">GMT at BD-Day 29 vs. GMT at Day 57 [28 days after Dose 2 of the primary series]) is ≥ 0.67 </w:t>
      </w:r>
      <w:r>
        <w:rPr>
          <w:b w:val="0"/>
          <w:i w:val="0"/>
        </w:rPr>
        <w:t xml:space="preserve">using a noninferiority margin of 1.5 (1.5-fold immuno-bridging margin for the lower bound of the </w:t>
      </w:r>
      <w:r>
        <w:rPr>
          <w:b w:val="0"/>
          <w:i w:val="0"/>
        </w:rPr>
        <w:t xml:space="preserve">95% CI for GMT ratio/GMR).  </w:t>
      </w:r>
      <w:r>
        <w:rPr>
          <w:b w:val="0"/>
          <w:i w:val="0"/>
        </w:rPr>
        <w:t xml:space="preserve">The GMT with 95% CI will be summarized using t-distribution of the log transferred values and </w:t>
      </w:r>
      <w:r>
        <w:rPr>
          <w:b w:val="0"/>
          <w:i w:val="0"/>
        </w:rPr>
        <w:t xml:space="preserve">then back transformed to the original scale. The GMR with 95% CI to compare post-booster GMT </w:t>
      </w:r>
      <w:r>
        <w:rPr>
          <w:b w:val="0"/>
          <w:i w:val="0"/>
        </w:rPr>
        <w:t xml:space="preserve">at BD-Day 29 in Part C with the primary series GMT at Day 57 (28 days after the second dose) </w:t>
      </w:r>
      <w:r>
        <w:rPr>
          <w:b w:val="0"/>
          <w:i w:val="0"/>
        </w:rPr>
        <w:t xml:space="preserve">will be computed based on the t-distribution of mean difference in the log transferred values and </w:t>
      </w:r>
      <w:r>
        <w:rPr>
          <w:b w:val="0"/>
          <w:i w:val="0"/>
        </w:rPr>
        <w:t xml:space="preserve">then back transformed to the original scale. </w:t>
      </w:r>
    </w:p>
    <w:p>
      <w:r>
        <w:rPr>
          <w:b/>
        </w:rPr>
        <w:t>Part C Key Secondary Endpoint 2: Ab Seroresponse Rate at BD-Day 29</w:t>
      </w:r>
    </w:p>
    <w:p>
      <w:r>
        <w:rPr>
          <w:b w:val="0"/>
          <w:i w:val="0"/>
        </w:rPr>
        <w:t xml:space="preserve">Hypothesis: immunogenicity response to mRNA-1273 BD as measured by seroresponse rate </w:t>
      </w:r>
      <w:r>
        <w:rPr>
          <w:b w:val="0"/>
          <w:i w:val="0"/>
        </w:rPr>
        <w:t xml:space="preserve">(SRR) at BD-Day 29 in Part C is noninferior compared with SRR of the primary series at Day 57 </w:t>
      </w:r>
      <w:r>
        <w:rPr>
          <w:b w:val="0"/>
          <w:i w:val="0"/>
        </w:rPr>
        <w:t xml:space="preserve">(28 days after second dose of the primary series of mRNA-1273). </w:t>
      </w:r>
      <w:r>
        <w:rPr>
          <w:b w:val="0"/>
          <w:i w:val="0"/>
        </w:rPr>
        <w:t xml:space="preserve">The noninferiority in SRR post-booster at BD-Day 29 in Part C compared with SRR of the primary </w:t>
      </w:r>
      <w:r>
        <w:rPr>
          <w:b w:val="0"/>
          <w:i w:val="0"/>
        </w:rPr>
        <w:t xml:space="preserve">series at Day 57 (28 days after the second dose of the primary series of mRNA-1273) is considered </w:t>
      </w:r>
      <w:r>
        <w:rPr>
          <w:b w:val="0"/>
          <w:i w:val="0"/>
        </w:rPr>
        <w:t xml:space="preserve">to be demonstrated if the lower bound of the 95% CI of the SRR difference (SRR of the booster at </w:t>
      </w:r>
      <w:r>
        <w:rPr>
          <w:b w:val="0"/>
          <w:i w:val="0"/>
        </w:rPr>
        <w:t xml:space="preserve">BD-Day 29 – SRR of the primary series at Day 57) is &gt; –10% (using the noninferiority margin of </w:t>
      </w:r>
      <w:r>
        <w:rPr>
          <w:b w:val="0"/>
          <w:i w:val="0"/>
        </w:rPr>
        <w:t xml:space="preserve">10%). The SRR difference is defined as the seroresponse rate at BD-Day 29 in Part C minus the </w:t>
      </w:r>
      <w:r>
        <w:rPr>
          <w:b w:val="0"/>
          <w:i w:val="0"/>
        </w:rPr>
        <w:t xml:space="preserve">seroresponse rate at Day 57 (28 days after the second dose) following the primary series of </w:t>
      </w:r>
      <w:r>
        <w:rPr>
          <w:b w:val="0"/>
          <w:i w:val="0"/>
        </w:rPr>
        <w:t xml:space="preserve">mRNA-1273. The seroresponse of a booster or the primary series is defined as a titer change from </w:t>
      </w:r>
      <w:r>
        <w:rPr>
          <w:b w:val="0"/>
          <w:i w:val="0"/>
        </w:rPr>
        <w:t xml:space="preserve">baseline (pre-Dose 1 in primary series) below the LLOQ to ≥ 4 × LLOQ, or at least a 4-fold rise if </w:t>
      </w:r>
      <w:r>
        <w:rPr>
          <w:b w:val="0"/>
          <w:i w:val="0"/>
        </w:rPr>
        <w:t xml:space="preserve">baseline is ≥ LLOQ.  </w:t>
      </w:r>
      <w:r>
        <w:rPr>
          <w:b w:val="0"/>
          <w:i w:val="0"/>
        </w:rPr>
        <w:t xml:space="preserve">The SRR with 95% CI (using Clopper-Pearson method) will be provided. The SRR difference with </w:t>
      </w:r>
      <w:r>
        <w:rPr>
          <w:b w:val="0"/>
          <w:i w:val="0"/>
        </w:rPr>
        <w:t xml:space="preserve">95% CI to compare post-booster SRR at BD-Day 29 in Part C with the primary series SRR at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