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10.</w:t>
      </w:r>
    </w:p>
    <w:p>
      <w:r>
        <w:rPr>
          <w:b/>
        </w:rPr>
        <w:t>EFFICACY ASSESSMENTS</w:t>
      </w:r>
    </w:p>
    <w:p>
      <w:r>
        <w:rPr>
          <w:b w:val="0"/>
          <w:i w:val="0"/>
        </w:rPr>
        <w:t xml:space="preserve">As patients previously treated with eculizumab have stabilized TMA parameters at study entry, </w:t>
      </w:r>
      <w:r>
        <w:rPr>
          <w:b w:val="0"/>
          <w:i w:val="0"/>
        </w:rPr>
        <w:t xml:space="preserve">Cohort 2 patients will be excluded from the following efficacy assessments: Complete TMA </w:t>
      </w:r>
      <w:r>
        <w:rPr>
          <w:b w:val="0"/>
          <w:i w:val="0"/>
        </w:rPr>
        <w:t xml:space="preserve">Response, Time to Complete TMA Response, Complete TMA Response status over time, and </w:t>
      </w:r>
      <w:r>
        <w:rPr>
          <w:b w:val="0"/>
          <w:i w:val="0"/>
        </w:rPr>
        <w:t xml:space="preserve">increase in hemoglobin from baseline. </w:t>
      </w:r>
    </w:p>
    <w:p>
      <w:r>
        <w:rPr>
          <w:b/>
        </w:rPr>
        <w:t>10.1.</w:t>
      </w:r>
    </w:p>
    <w:p>
      <w:r>
        <w:rPr>
          <w:b/>
        </w:rPr>
        <w:t>Primary Efficacy Assessment</w:t>
      </w:r>
    </w:p>
    <w:p>
      <w:r>
        <w:rPr>
          <w:b w:val="0"/>
          <w:i w:val="0"/>
        </w:rPr>
        <w:t xml:space="preserve">The primary efficacy assessment for Cohort 1 is Complete TMA Response during the 26-week </w:t>
      </w:r>
      <w:r>
        <w:rPr>
          <w:b w:val="0"/>
          <w:i w:val="0"/>
        </w:rPr>
        <w:t xml:space="preserve">Initial Evaluation Period. The criteria for Complete TMA Response are the following:  </w:t>
      </w:r>
    </w:p>
    <w:p>
      <w:pPr>
        <w:pStyle w:val="ListNumber"/>
      </w:pPr>
      <w:r>
        <w:t>Normalization of platelet count</w:t>
      </w:r>
    </w:p>
    <w:p>
      <w:pPr>
        <w:pStyle w:val="ListNumber"/>
      </w:pPr>
      <w:r>
        <w:t>Normalization of LDH</w:t>
      </w:r>
    </w:p>
    <w:p>
      <w:pPr>
        <w:pStyle w:val="ListNumber"/>
      </w:pPr>
      <w:r>
        <w:t>≥ 25% i mprovement in serum creatinine from baseline</w:t>
      </w:r>
    </w:p>
    <w:p>
      <w:r>
        <w:rPr>
          <w:b w:val="0"/>
          <w:i w:val="0"/>
        </w:rPr>
        <w:t xml:space="preserve">Patients must meet all Complete TMA Response criteria at 2 separate assessments obtained at </w:t>
      </w:r>
      <w:r>
        <w:rPr>
          <w:b w:val="0"/>
          <w:i w:val="0"/>
        </w:rPr>
        <w:t xml:space="preserve">least 4 weeks (28 days) apart, and any measurement in between, to be classified as having met </w:t>
      </w:r>
      <w:r>
        <w:rPr>
          <w:b w:val="0"/>
          <w:i w:val="0"/>
        </w:rPr>
        <w:t xml:space="preserve">the primary efficacy endpoint.  </w:t>
      </w:r>
    </w:p>
    <w:p>
      <w:r>
        <w:rPr>
          <w:b/>
        </w:rPr>
        <w:t>10.2.</w:t>
      </w:r>
    </w:p>
    <w:p>
      <w:r>
        <w:rPr>
          <w:b/>
        </w:rPr>
        <w:t>Secondary Efficacy Assessments</w:t>
      </w:r>
    </w:p>
    <w:p>
      <w:r>
        <w:rPr>
          <w:b w:val="0"/>
          <w:i w:val="0"/>
        </w:rPr>
        <w:t xml:space="preserve">The following secondary efficacy assessments for Cohort 1 will be measured through 26 weeks </w:t>
      </w:r>
      <w:r>
        <w:rPr>
          <w:b w:val="0"/>
          <w:i w:val="0"/>
        </w:rPr>
        <w:t xml:space="preserve">and over the entire study period:  </w:t>
      </w:r>
    </w:p>
    <w:p>
      <w:pPr>
        <w:pStyle w:val="ListNumber"/>
      </w:pPr>
      <w:r>
        <w:t>Dialysis requirement status</w:t>
      </w:r>
    </w:p>
    <w:p>
      <w:pPr>
        <w:pStyle w:val="ListNumber"/>
      </w:pPr>
      <w:r>
        <w:t>Time to Complete TMA Response</w:t>
      </w:r>
    </w:p>
    <w:p>
      <w:pPr>
        <w:pStyle w:val="ListNumber"/>
      </w:pPr>
      <w:r>
        <w:t>Complete TMA Response status over time</w:t>
      </w:r>
    </w:p>
    <w:p>
      <w:pPr>
        <w:pStyle w:val="ListNumber"/>
      </w:pPr>
      <w:r>
        <w:t>Observed value and change from baseline in eGFR</w:t>
      </w:r>
    </w:p>
    <w:p>
      <w:pPr>
        <w:pStyle w:val="ListNumber"/>
      </w:pPr>
      <w:r>
        <w:t>CKD stage, as evaluated by eGFR at select target days and classified as improved, stable (no change), or worsened compared to baseline</w:t>
      </w:r>
    </w:p>
    <w:p>
      <w:pPr>
        <w:pStyle w:val="ListNumber"/>
      </w:pPr>
      <w:r>
        <w:t>Observed value and change from baseline in hematologic parameters (platelets, LDH, hemoglobin)</w:t>
      </w:r>
    </w:p>
    <w:p>
      <w:pPr>
        <w:pStyle w:val="ListNumber"/>
      </w:pPr>
      <w:r>
        <w:t>Increase in hemoglobin of ≥ 20 g/L from baseline, observed at 2 separate assessments obtained at least 4 weeks (28 days) apart, and any measurement in between</w:t>
      </w:r>
    </w:p>
    <w:p>
      <w:pPr>
        <w:pStyle w:val="ListNumber"/>
      </w:pPr>
      <w:r>
        <w:t>Change from baseline in QoL, as measured by Pediatric FACIT Fatigue questionnaire (patients ≥ 5 years of age)</w:t>
      </w:r>
    </w:p>
    <w:p>
      <w:pPr>
        <w:pStyle w:val="ListNumber"/>
      </w:pPr>
      <w:r>
        <w:t>TMA parameters in patients who discontinue treatment in the Extension Period, but remain in the study</w:t>
      </w:r>
    </w:p>
    <w:p>
      <w:r>
        <w:rPr>
          <w:b w:val="0"/>
          <w:i w:val="0"/>
        </w:rPr>
        <w:t xml:space="preserve">The following secondary efficacy assessments for Cohort 2 will be measured through 26 weeks </w:t>
      </w:r>
      <w:r>
        <w:rPr>
          <w:b w:val="0"/>
          <w:i w:val="0"/>
        </w:rPr>
        <w:t xml:space="preserve">and over the entire study period:  </w:t>
      </w:r>
    </w:p>
    <w:p>
      <w:r>
        <w:rPr>
          <w:b w:val="0"/>
          <w:i w:val="0"/>
        </w:rPr>
        <w:t xml:space="preserve">Alexion Pharmaceuticals, Inc. </w:t>
      </w:r>
      <w:r>
        <w:rPr>
          <w:b w:val="0"/>
          <w:i w:val="0"/>
        </w:rPr>
        <w:t xml:space="preserve">Amendment 6 (Global) 16 Jul 2019 </w:t>
      </w:r>
    </w:p>
    <w:p>
      <w:pPr>
        <w:pStyle w:val="ListNumber"/>
      </w:pPr>
      <w:r>
        <w:t>Dialysis requirement status</w:t>
      </w:r>
    </w:p>
    <w:p>
      <w:pPr>
        <w:pStyle w:val="ListNumber"/>
      </w:pPr>
      <w:r>
        <w:t>Observed value and change from baseline in eGFR</w:t>
      </w:r>
    </w:p>
    <w:p>
      <w:pPr>
        <w:pStyle w:val="ListNumber"/>
      </w:pPr>
      <w:r>
        <w:t>CKD stage, as evaluated by eGFR at select target days and classified as improved, stable (no change), or worsened compared to baseline</w:t>
      </w:r>
    </w:p>
    <w:p>
      <w:pPr>
        <w:pStyle w:val="ListNumber"/>
      </w:pPr>
      <w:r>
        <w:t>Observed value and change from baseline in hematologic parameters (platelets, LDH, hemoglobin)</w:t>
      </w:r>
    </w:p>
    <w:p>
      <w:pPr>
        <w:pStyle w:val="ListNumber"/>
      </w:pPr>
      <w:r>
        <w:t>Change from baseline in QoL, as measured by Pediatric FACIT Fatigue questionnaire (p atients ≥ 5 years of age)</w:t>
      </w:r>
    </w:p>
    <w:p>
      <w:pPr>
        <w:pStyle w:val="ListNumber"/>
      </w:pPr>
      <w:r>
        <w:t>TMA parameters in patients who discontinue treatment in the Extension Period, but remain in the study Alexion Pharmaceuticals, Inc. Amendment 6 (Global) 16 Jul 2019</w:t>
      </w:r>
    </w:p>
    <w:p>
      <w:r>
        <w:rPr>
          <w:b/>
        </w:rPr>
        <w:t>11.</w:t>
      </w:r>
    </w:p>
    <w:p>
      <w:r>
        <w:rPr>
          <w:b/>
        </w:rPr>
        <w:t>SAFETY ASSESSMENTS</w:t>
      </w:r>
    </w:p>
    <w:p>
      <w:r>
        <w:rPr>
          <w:b w:val="0"/>
          <w:i w:val="0"/>
        </w:rPr>
        <w:t>The I</w:t>
      </w:r>
      <w:r>
        <w:rPr>
          <w:b w:val="0"/>
          <w:i w:val="0"/>
        </w:rPr>
        <w:t>nvestigator or his/her designee will meet with patients/caregivers</w:t>
      </w:r>
      <w:r>
        <w:rPr>
          <w:b w:val="0"/>
          <w:i w:val="0"/>
        </w:rPr>
        <w:t xml:space="preserve"> to discuss the potential </w:t>
      </w:r>
      <w:r>
        <w:rPr>
          <w:b w:val="0"/>
          <w:i w:val="0"/>
        </w:rPr>
        <w:t xml:space="preserve">safety risks of ALXN1210 and to give the Investigator the opportunity to address any of the </w:t>
      </w:r>
      <w:r>
        <w:rPr>
          <w:b w:val="0"/>
          <w:i w:val="0"/>
        </w:rPr>
        <w:t xml:space="preserve">patient’s safety concerns regarding the study. </w:t>
      </w:r>
      <w:r>
        <w:rPr>
          <w:b w:val="0"/>
          <w:i w:val="0"/>
        </w:rPr>
        <w:t xml:space="preserve">The collection of AEs will be monitored from the time informed consent is obtained until study </w:t>
      </w:r>
      <w:r>
        <w:rPr>
          <w:b w:val="0"/>
          <w:i w:val="0"/>
        </w:rPr>
        <w:t xml:space="preserve">completion. Investigators are instructed to follow any AEs through to their conclusion </w:t>
      </w:r>
      <w:r>
        <w:rPr>
          <w:b w:val="0"/>
          <w:i w:val="0"/>
        </w:rPr>
        <w:t xml:space="preserve">(resolution or stabilization) as described in 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11.7.6</w:t>
      </w:r>
      <w:r>
        <w:rPr>
          <w:b w:val="0"/>
          <w:i w:val="0"/>
        </w:rPr>
        <w:t xml:space="preserve">. In the event of patient withdrawal </w:t>
      </w:r>
      <w:r>
        <w:rPr>
          <w:b w:val="0"/>
          <w:i w:val="0"/>
        </w:rPr>
        <w:t xml:space="preserve">from the study, AE monitoring should continue through the last patient’s last study visit if </w:t>
      </w:r>
      <w:r>
        <w:rPr>
          <w:b w:val="0"/>
          <w:i w:val="0"/>
        </w:rPr>
        <w:t xml:space="preserve">possible.  </w:t>
      </w:r>
      <w:r>
        <w:rPr>
          <w:b w:val="0"/>
          <w:i w:val="0"/>
        </w:rPr>
        <w:t xml:space="preserve">The timing of the clinical and laboratory assessments to be performed is specified in the </w:t>
      </w:r>
      <w:r>
        <w:rPr>
          <w:b w:val="0"/>
          <w:i w:val="0"/>
        </w:rPr>
        <w:t>Schedule of Assessments (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7.3</w:t>
      </w:r>
      <w:r>
        <w:rPr>
          <w:b w:val="0"/>
          <w:i w:val="0"/>
        </w:rPr>
        <w:t xml:space="preserve">). Any clinically significant abnormal results should be </w:t>
      </w:r>
      <w:r>
        <w:rPr>
          <w:b w:val="0"/>
          <w:i w:val="0"/>
        </w:rPr>
        <w:t xml:space="preserve">followed until resolution or stabilization. </w:t>
      </w:r>
    </w:p>
    <w:p>
      <w:r>
        <w:rPr>
          <w:b/>
        </w:rPr>
        <w:t>11.1.</w:t>
      </w:r>
    </w:p>
    <w:p>
      <w:r>
        <w:rPr>
          <w:b/>
        </w:rPr>
        <w:t>Demographic/Medical History</w:t>
      </w:r>
    </w:p>
    <w:p>
      <w:r>
        <w:rPr>
          <w:b/>
        </w:rPr>
        <w:t>11.1.1.</w:t>
      </w:r>
    </w:p>
    <w:p>
      <w:r>
        <w:rPr>
          <w:b/>
        </w:rPr>
        <w:t>Demographics and Baseline Characteristics</w:t>
      </w:r>
    </w:p>
    <w:p>
      <w:r>
        <w:rPr>
          <w:b w:val="0"/>
          <w:i w:val="0"/>
        </w:rPr>
        <w:t xml:space="preserve">A review of demographic parameters, including age, gender, race, and ethnicity will be </w:t>
      </w:r>
      <w:r>
        <w:rPr>
          <w:b w:val="0"/>
          <w:i w:val="0"/>
        </w:rPr>
        <w:t xml:space="preserve">performed. A complete medical history will be taken and documented. Weight and height will be </w:t>
      </w:r>
      <w:r>
        <w:rPr>
          <w:b w:val="0"/>
          <w:i w:val="0"/>
        </w:rPr>
        <w:t xml:space="preserve">recorded.  </w:t>
      </w:r>
    </w:p>
    <w:p>
      <w:r>
        <w:rPr>
          <w:b/>
        </w:rPr>
        <w:t>11.1.2.</w:t>
      </w:r>
    </w:p>
    <w:p>
      <w:r>
        <w:rPr>
          <w:b/>
        </w:rPr>
        <w:t>Disease Characteristics</w:t>
      </w:r>
    </w:p>
    <w:p>
      <w:r>
        <w:rPr>
          <w:b w:val="0"/>
          <w:i w:val="0"/>
        </w:rPr>
        <w:t xml:space="preserve">The patient’s aHUS medical history, including onset of first aHUS symptom and date of </w:t>
      </w:r>
      <w:r>
        <w:rPr>
          <w:b w:val="0"/>
          <w:i w:val="0"/>
        </w:rPr>
        <w:t xml:space="preserve">diagnosis, will be documented at the Screening Visit.  </w:t>
      </w:r>
    </w:p>
    <w:p>
      <w:r>
        <w:rPr>
          <w:b/>
        </w:rPr>
        <w:t>11.1.3.</w:t>
      </w:r>
    </w:p>
    <w:p>
      <w:r>
        <w:rPr>
          <w:b/>
        </w:rPr>
        <w:t>Medical History</w:t>
      </w:r>
    </w:p>
    <w:p>
      <w:r>
        <w:rPr>
          <w:b w:val="0"/>
          <w:i w:val="0"/>
        </w:rPr>
        <w:t xml:space="preserve">The patient’s medical history, including prior and concomitant conditions/disorders, will be </w:t>
      </w:r>
      <w:r>
        <w:rPr>
          <w:b w:val="0"/>
          <w:i w:val="0"/>
        </w:rPr>
        <w:t xml:space="preserve">recorded at the Screening Visit. Medication (prescription or over-the-counter, including vitamins </w:t>
      </w:r>
      <w:r>
        <w:rPr>
          <w:b w:val="0"/>
          <w:i w:val="0"/>
        </w:rPr>
        <w:t xml:space="preserve">and/or herbal supplements) use </w:t>
      </w:r>
      <w:r>
        <w:rPr>
          <w:b w:val="0"/>
          <w:i w:val="0"/>
        </w:rPr>
        <w:t xml:space="preserve">within 28 days prior to the start of Screening will also be </w:t>
      </w:r>
      <w:r>
        <w:rPr>
          <w:b w:val="0"/>
          <w:i w:val="0"/>
        </w:rPr>
        <w:t xml:space="preserve">recorded. Meningococcal vaccination within 3 years prior to the first dose of study drug, and </w:t>
      </w:r>
      <w:r>
        <w:rPr>
          <w:b w:val="0"/>
          <w:i w:val="0"/>
        </w:rPr>
        <w:t xml:space="preserve">vaccination history for Hib and </w:t>
      </w:r>
      <w:r>
        <w:rPr>
          <w:b w:val="0"/>
          <w:i/>
        </w:rPr>
        <w:t>Streptococcus pneumoniae</w:t>
      </w:r>
      <w:r>
        <w:rPr>
          <w:b w:val="0"/>
          <w:i w:val="0"/>
        </w:rPr>
        <w:t xml:space="preserve"> from birth, will also be recorded, as </w:t>
      </w:r>
      <w:r>
        <w:rPr>
          <w:b w:val="0"/>
          <w:i w:val="0"/>
        </w:rPr>
        <w:t xml:space="preserve">described in 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9.6</w:t>
      </w:r>
      <w:r>
        <w:rPr>
          <w:b w:val="0"/>
          <w:i w:val="0"/>
        </w:rPr>
        <w:t xml:space="preserve">. For Cohort 2 patients, medical history should be used to document </w:t>
      </w:r>
      <w:r>
        <w:rPr>
          <w:b w:val="0"/>
          <w:i w:val="0"/>
        </w:rPr>
        <w:t xml:space="preserve">ADAMTS13, Shiga toxin status, and direct Coombs at the previous TMA event, if available. </w:t>
      </w:r>
    </w:p>
    <w:p>
      <w:r>
        <w:rPr>
          <w:b/>
        </w:rPr>
        <w:t>11.2.</w:t>
      </w:r>
    </w:p>
    <w:p>
      <w:r>
        <w:rPr>
          <w:b/>
        </w:rPr>
        <w:t>Physical Examinations</w:t>
      </w:r>
    </w:p>
    <w:p>
      <w:r>
        <w:rPr>
          <w:b w:val="0"/>
          <w:i w:val="0"/>
        </w:rPr>
        <w:t xml:space="preserve">A physical examination will include the following assessments: general appearance; skin; head, </w:t>
      </w:r>
      <w:r>
        <w:rPr>
          <w:b w:val="0"/>
          <w:i w:val="0"/>
        </w:rPr>
        <w:t xml:space="preserve">ear, eye, nose, and throat; neck; lymph nodes; chest; heart; abdominal cavity; limb; central </w:t>
      </w:r>
      <w:r>
        <w:rPr>
          <w:b w:val="0"/>
          <w:i w:val="0"/>
        </w:rPr>
        <w:t xml:space="preserve">nervous system; and musculoskeletal system. An abbreviated physical examination consists of a </w:t>
      </w:r>
      <w:r>
        <w:rPr>
          <w:b w:val="0"/>
          <w:i w:val="0"/>
        </w:rPr>
        <w:t xml:space="preserve">body system relevant examination based upon Investigator (or qualified designee) judgment and </w:t>
      </w:r>
      <w:r>
        <w:rPr>
          <w:b w:val="0"/>
          <w:i w:val="0"/>
        </w:rPr>
        <w:t xml:space="preserve">patient symptoms. Physical growth (height, weight, and head circumference [the latter only in </w:t>
      </w:r>
      <w:r>
        <w:rPr>
          <w:b w:val="0"/>
          <w:i w:val="0"/>
        </w:rPr>
        <w:t>patients ≤ 2 years of age]</w:t>
      </w:r>
      <w:r>
        <w:rPr>
          <w:b w:val="0"/>
          <w:i w:val="0"/>
        </w:rPr>
        <w:t xml:space="preserve">) will be assessed.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