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11.6.</w:t>
      </w:r>
    </w:p>
    <w:p>
      <w:r>
        <w:rPr>
          <w:b/>
        </w:rPr>
        <w:t>Immunogenicity</w:t>
      </w:r>
    </w:p>
    <w:p>
      <w:r>
        <w:rPr>
          <w:b w:val="0"/>
          <w:i w:val="0"/>
        </w:rPr>
        <w:t xml:space="preserve">Blood samples will be collected to test for presence and titer of ADAs to ALXN1210 in serum </w:t>
      </w:r>
      <w:r>
        <w:rPr>
          <w:b w:val="0"/>
          <w:i w:val="0"/>
        </w:rPr>
        <w:t>prior to study drug administration as indicated in the Schedule of Assessments (</w:t>
      </w:r>
      <w:r>
        <w:rPr>
          <w:b w:val="0"/>
          <w:i w:val="0"/>
        </w:rPr>
        <w:t>Section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7.3</w:t>
      </w:r>
      <w:r>
        <w:rPr>
          <w:b w:val="0"/>
          <w:i w:val="0"/>
        </w:rPr>
        <w:t xml:space="preserve">). </w:t>
      </w:r>
      <w:r>
        <w:rPr>
          <w:b w:val="0"/>
          <w:i w:val="0"/>
        </w:rPr>
        <w:t xml:space="preserve">Further characterization of antibody responses may be conducted as appropriate, including </w:t>
      </w:r>
      <w:r>
        <w:rPr>
          <w:b w:val="0"/>
          <w:i w:val="0"/>
        </w:rPr>
        <w:t>binding and neutr</w:t>
      </w:r>
      <w:r>
        <w:rPr>
          <w:b w:val="0"/>
          <w:i w:val="0"/>
        </w:rPr>
        <w:t xml:space="preserve">alizing antibodies, to PK/PD, safety, and activity of ALXN1210. </w:t>
      </w:r>
      <w:r>
        <w:rPr>
          <w:b w:val="0"/>
          <w:i w:val="0"/>
        </w:rPr>
        <w:t xml:space="preserve"> </w:t>
      </w:r>
    </w:p>
    <w:p>
      <w:r>
        <w:rPr>
          <w:b w:val="0"/>
          <w:i w:val="0"/>
        </w:rPr>
        <w:t xml:space="preserve">Alexion Pharmaceuticals, Inc. </w:t>
      </w:r>
      <w:r>
        <w:rPr>
          <w:b w:val="0"/>
          <w:i w:val="0"/>
        </w:rPr>
        <w:t xml:space="preserve">Amendment 6 (Global) 16 Jul 2019 </w:t>
      </w:r>
    </w:p>
    <w:p>
      <w:r>
        <w:rPr>
          <w:b w:val="0"/>
          <w:i w:val="0"/>
        </w:rPr>
        <w:t xml:space="preserve">Please refer to the Laboratory Manual for time windows for collection and detailed instructions </w:t>
      </w:r>
      <w:r>
        <w:rPr>
          <w:b w:val="0"/>
          <w:i w:val="0"/>
        </w:rPr>
        <w:t xml:space="preserve">for collecting, processing, storing, and shipping blood samples for immunogenicity analysis.  </w:t>
      </w:r>
    </w:p>
    <w:p>
      <w:r>
        <w:rPr>
          <w:b/>
        </w:rPr>
        <w:t>11.7.</w:t>
      </w:r>
    </w:p>
    <w:p>
      <w:r>
        <w:rPr>
          <w:b/>
        </w:rPr>
        <w:t>Adverse Event Management</w:t>
      </w:r>
    </w:p>
    <w:p>
      <w:r>
        <w:rPr>
          <w:b w:val="0"/>
          <w:i w:val="0"/>
        </w:rPr>
        <w:t xml:space="preserve">An AE is any untoward medical occurrence in a patient administered a pharmaceutical product </w:t>
      </w:r>
      <w:r>
        <w:rPr>
          <w:b w:val="0"/>
          <w:i w:val="0"/>
        </w:rPr>
        <w:t xml:space="preserve">and which does not necessarily have a causal relationship with this treatment. An AE can </w:t>
      </w:r>
      <w:r>
        <w:rPr>
          <w:b w:val="0"/>
          <w:i w:val="0"/>
        </w:rPr>
        <w:t xml:space="preserve">therefore be any unfavorable or unintended sign (eg, an abnormal laboratory finding), symptom, </w:t>
      </w:r>
      <w:r>
        <w:rPr>
          <w:b w:val="0"/>
          <w:i w:val="0"/>
        </w:rPr>
        <w:t xml:space="preserve">or disease temporally associated with the use of a medicinal product, whether or not considered </w:t>
      </w:r>
      <w:r>
        <w:rPr>
          <w:b w:val="0"/>
          <w:i w:val="0"/>
        </w:rPr>
        <w:t xml:space="preserve">related to the medicinal product. </w:t>
      </w:r>
    </w:p>
    <w:p>
      <w:r>
        <w:rPr>
          <w:b w:val="0"/>
          <w:i w:val="0"/>
        </w:rPr>
        <w:t xml:space="preserve">Situations in which an untoward medical occurrence did not occur (eg, hospitalization for </w:t>
      </w:r>
      <w:r>
        <w:rPr>
          <w:b w:val="0"/>
          <w:i w:val="0"/>
        </w:rPr>
        <w:t xml:space="preserve">elective surgery if planned before the start of the study, admissions for social reasons or </w:t>
      </w:r>
      <w:r>
        <w:rPr>
          <w:b w:val="0"/>
          <w:i w:val="0"/>
        </w:rPr>
        <w:t xml:space="preserve">convenience), and anticipated day-to-day fluctuations of pre-existing disease(s) or condition(s) </w:t>
      </w:r>
      <w:r>
        <w:rPr>
          <w:b w:val="0"/>
          <w:i w:val="0"/>
        </w:rPr>
        <w:t xml:space="preserve">present or detected at the start of the study that do not worsen are not AEs. </w:t>
      </w:r>
      <w:r>
        <w:rPr>
          <w:b w:val="0"/>
          <w:i w:val="0"/>
        </w:rPr>
        <w:t xml:space="preserve">Lack of drug effect is not an AE in clinical studies, because the purpose of the clinical study is to </w:t>
      </w:r>
      <w:r>
        <w:rPr>
          <w:b w:val="0"/>
          <w:i w:val="0"/>
        </w:rPr>
        <w:t xml:space="preserve">establish drug effect. </w:t>
      </w:r>
    </w:p>
    <w:p>
      <w:r>
        <w:rPr>
          <w:b w:val="0"/>
          <w:i w:val="0"/>
        </w:rPr>
        <w:t xml:space="preserve">A medication error (including intentional misuse, abuse, and overdose of the product) or use </w:t>
      </w:r>
      <w:r>
        <w:rPr>
          <w:b w:val="0"/>
          <w:i w:val="0"/>
        </w:rPr>
        <w:t xml:space="preserve">other than what is defined in the protocol is not considered an AE unless there is an untoward </w:t>
      </w:r>
      <w:r>
        <w:rPr>
          <w:b w:val="0"/>
          <w:i w:val="0"/>
        </w:rPr>
        <w:t xml:space="preserve">medical occurrence as a result of a medication error.  </w:t>
      </w:r>
    </w:p>
    <w:p>
      <w:r>
        <w:rPr>
          <w:b w:val="0"/>
          <w:i w:val="0"/>
        </w:rPr>
        <w:t xml:space="preserve">Cases of pregnancy that occur during maternal or paternal exposure to investigational product </w:t>
      </w:r>
      <w:r>
        <w:rPr>
          <w:b w:val="0"/>
          <w:i w:val="0"/>
        </w:rPr>
        <w:t xml:space="preserve">are to be reported </w:t>
      </w:r>
      <w:r>
        <w:rPr>
          <w:b w:val="0"/>
          <w:i w:val="0"/>
        </w:rPr>
        <w:t>within 24 hours of Investigator/site awareness</w:t>
      </w:r>
      <w:r>
        <w:rPr>
          <w:b w:val="0"/>
          <w:i w:val="0"/>
        </w:rPr>
        <w:t xml:space="preserve">. Data on fetal outcome and </w:t>
      </w:r>
      <w:r>
        <w:rPr>
          <w:b w:val="0"/>
          <w:i w:val="0"/>
        </w:rPr>
        <w:t xml:space="preserve">breastfeeding will be collected for regulatory reporting and safety evaluation. </w:t>
      </w:r>
    </w:p>
    <w:p>
      <w:r>
        <w:rPr>
          <w:b w:val="0"/>
          <w:i w:val="0"/>
        </w:rPr>
        <w:t xml:space="preserve">Adverse events should be recorded from the time of signed consent. An AE reported after </w:t>
      </w:r>
      <w:r>
        <w:rPr>
          <w:b w:val="0"/>
          <w:i w:val="0"/>
        </w:rPr>
        <w:t xml:space="preserve">informed consent but before study drug administration will be considered a pretreatment AE. </w:t>
      </w:r>
      <w:r>
        <w:rPr>
          <w:b w:val="0"/>
          <w:i w:val="0"/>
        </w:rPr>
        <w:t xml:space="preserve">Alexion has reporting standards for AEs that are to be followed as described in </w:t>
      </w:r>
      <w:r>
        <w:rPr>
          <w:b w:val="0"/>
          <w:i w:val="0"/>
        </w:rPr>
        <w:t>Section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11.7.6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regardless of applicable regulatory requirements that may be less stringent.  </w:t>
      </w:r>
    </w:p>
    <w:p>
      <w:r>
        <w:rPr>
          <w:b/>
        </w:rPr>
        <w:t>11.7.1.</w:t>
      </w:r>
    </w:p>
    <w:p>
      <w:r>
        <w:rPr>
          <w:b/>
        </w:rPr>
        <w:t>Targeted Adverse Events</w:t>
      </w:r>
    </w:p>
    <w:p>
      <w:r>
        <w:rPr>
          <w:b w:val="0"/>
          <w:i w:val="0"/>
        </w:rPr>
        <w:t xml:space="preserve">The following events are important identified risks in this study: </w:t>
      </w:r>
    </w:p>
    <w:p>
      <w:pPr>
        <w:pStyle w:val="ListBullet"/>
      </w:pPr>
      <w:r>
        <w:t>Meningococcal infections</w:t>
      </w:r>
    </w:p>
    <w:p>
      <w:r>
        <w:rPr>
          <w:b/>
        </w:rPr>
        <w:t>11.7.2.</w:t>
      </w:r>
    </w:p>
    <w:p>
      <w:r>
        <w:rPr>
          <w:b/>
        </w:rPr>
        <w:t>Severity Assessment</w:t>
      </w:r>
    </w:p>
    <w:p>
      <w:r>
        <w:rPr>
          <w:b w:val="0"/>
          <w:i w:val="0"/>
        </w:rPr>
        <w:t xml:space="preserve">The severity of AEs will be graded using Common Terminology Criteria for Adverse Events </w:t>
      </w:r>
      <w:r>
        <w:rPr>
          <w:b w:val="0"/>
          <w:i w:val="0"/>
        </w:rPr>
        <w:t xml:space="preserve">(CTCAE) version 4.03 or higher. A grading (severity) scale is provided for each AE term. Each </w:t>
      </w:r>
      <w:r>
        <w:rPr>
          <w:b w:val="0"/>
          <w:i w:val="0"/>
        </w:rPr>
        <w:t xml:space="preserve">CTCAE term is a Lowest Level Term (LLT) per the Medical Dictionary for Regulatory </w:t>
      </w:r>
      <w:r>
        <w:rPr>
          <w:b w:val="0"/>
          <w:i w:val="0"/>
        </w:rPr>
        <w:t>Activities (MedDRA</w:t>
      </w:r>
      <w:r>
        <w:rPr>
          <w:b w:val="0"/>
          <w:i w:val="0"/>
        </w:rPr>
        <w:t>®</w:t>
      </w:r>
      <w:r>
        <w:rPr>
          <w:b w:val="0"/>
          <w:i w:val="0"/>
        </w:rPr>
        <w:t xml:space="preserve">). Each LLT will be coded to a MedDRA preferred term (PT). </w:t>
      </w:r>
      <w:r>
        <w:rPr>
          <w:b w:val="0"/>
          <w:i w:val="0"/>
        </w:rPr>
        <w:t xml:space="preserve">Grade refers to the severity of the AE. The CTCAE assigns a grade of 1 through 5, with unique </w:t>
      </w:r>
      <w:r>
        <w:rPr>
          <w:b w:val="0"/>
          <w:i w:val="0"/>
        </w:rPr>
        <w:t>clinical descriptions of severity for each AE (</w:t>
      </w:r>
      <w:r>
        <w:rPr>
          <w:b w:val="0"/>
          <w:i w:val="0"/>
        </w:rPr>
        <w:t>Table 8</w:t>
      </w:r>
      <w:r>
        <w:rPr>
          <w:b w:val="0"/>
          <w:i w:val="0"/>
        </w:rPr>
        <w:t xml:space="preserve">). </w:t>
      </w:r>
    </w:p>
    <w:p>
      <w:r>
        <w:rPr>
          <w:b w:val="0"/>
          <w:i w:val="0"/>
        </w:rPr>
        <w:t xml:space="preserve">Alexion Pharmaceuticals, Inc. </w:t>
      </w:r>
      <w:r>
        <w:rPr>
          <w:b w:val="0"/>
          <w:i w:val="0"/>
        </w:rPr>
        <w:t xml:space="preserve">Amendment 6 (Global) 16 Jul 2019 </w:t>
      </w:r>
    </w:p>
    <w:p>
      <w:r>
        <w:rPr>
          <w:b/>
        </w:rPr>
        <w:t>Table 8:</w:t>
      </w:r>
    </w:p>
    <w:p>
      <w:r>
        <w:rPr>
          <w:b/>
        </w:rPr>
        <w:t>Adverse Event Severity Grading Scale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Grade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Grade 1</w:t>
            </w:r>
          </w:p>
        </w:tc>
        <w:tc>
          <w:tcPr>
            <w:tcW w:type="dxa" w:w="4320"/>
          </w:tcPr>
          <w:p>
            <w:r>
              <w:t>Mild; asymptomatic or mild symptoms; clinical or diagnostic observations only; intervention not</w:t>
              <w:br/>
              <w:t>indicated</w:t>
            </w:r>
          </w:p>
        </w:tc>
      </w:tr>
      <w:tr>
        <w:tc>
          <w:tcPr>
            <w:tcW w:type="dxa" w:w="4320"/>
          </w:tcPr>
          <w:p>
            <w:r>
              <w:t>Grade 2</w:t>
            </w:r>
          </w:p>
        </w:tc>
        <w:tc>
          <w:tcPr>
            <w:tcW w:type="dxa" w:w="4320"/>
          </w:tcPr>
          <w:p>
            <w:r>
              <w:t>Moderate; minimal, local or noninvasive intervention indicated; limiting age-appropriate instrumental</w:t>
              <w:br/>
              <w:t>activities of daily living (ADL)a</w:t>
            </w:r>
          </w:p>
        </w:tc>
      </w:tr>
      <w:tr>
        <w:tc>
          <w:tcPr>
            <w:tcW w:type="dxa" w:w="4320"/>
          </w:tcPr>
          <w:p>
            <w:r>
              <w:t>Grade 3</w:t>
            </w:r>
          </w:p>
        </w:tc>
        <w:tc>
          <w:tcPr>
            <w:tcW w:type="dxa" w:w="4320"/>
          </w:tcPr>
          <w:p>
            <w:r>
              <w:t>Severe or medically significant, but not immediately life-threatening; hospitalization or prolongation</w:t>
              <w:br/>
              <w:t>of hospitalization indicated; disabling; limiting self-care ADLb</w:t>
            </w:r>
          </w:p>
        </w:tc>
      </w:tr>
      <w:tr>
        <w:tc>
          <w:tcPr>
            <w:tcW w:type="dxa" w:w="4320"/>
          </w:tcPr>
          <w:p>
            <w:r>
              <w:t>Grade 4</w:t>
            </w:r>
          </w:p>
        </w:tc>
        <w:tc>
          <w:tcPr>
            <w:tcW w:type="dxa" w:w="4320"/>
          </w:tcPr>
          <w:p>
            <w:r>
              <w:t>Life-threatening consequences; urgent intervention indicated.</w:t>
            </w:r>
          </w:p>
        </w:tc>
      </w:tr>
      <w:tr>
        <w:tc>
          <w:tcPr>
            <w:tcW w:type="dxa" w:w="4320"/>
          </w:tcPr>
          <w:p>
            <w:r>
              <w:t>Grade 5</w:t>
            </w:r>
          </w:p>
        </w:tc>
        <w:tc>
          <w:tcPr>
            <w:tcW w:type="dxa" w:w="4320"/>
          </w:tcPr>
          <w:p>
            <w:r>
              <w:t>Death related to AE.</w:t>
            </w:r>
          </w:p>
        </w:tc>
      </w:tr>
    </w:tbl>
    <w:p>
      <w:r>
        <w:rPr>
          <w:b/>
          <w:i w:val="0"/>
        </w:rPr>
        <w:t xml:space="preserve">Grade </w:t>
      </w:r>
      <w:r>
        <w:rPr>
          <w:b/>
          <w:i w:val="0"/>
        </w:rPr>
        <w:t xml:space="preserve">Description </w:t>
      </w:r>
      <w:r>
        <w:rPr>
          <w:b w:val="0"/>
          <w:i w:val="0"/>
        </w:rPr>
        <w:t xml:space="preserve">Grade 1 </w:t>
      </w:r>
      <w:r>
        <w:rPr>
          <w:b w:val="0"/>
          <w:i w:val="0"/>
        </w:rPr>
        <w:t xml:space="preserve">Mild; asymptomatic or mild symptoms; clinical or diagnostic observations only; intervention not </w:t>
      </w:r>
      <w:r>
        <w:rPr>
          <w:b w:val="0"/>
          <w:i w:val="0"/>
        </w:rPr>
        <w:t xml:space="preserve">indicated </w:t>
      </w:r>
      <w:r>
        <w:rPr>
          <w:b w:val="0"/>
          <w:i w:val="0"/>
        </w:rPr>
        <w:t xml:space="preserve">Grade 2 </w:t>
      </w:r>
      <w:r>
        <w:rPr>
          <w:b w:val="0"/>
          <w:i w:val="0"/>
        </w:rPr>
        <w:t xml:space="preserve">Moderate; minimal, local or noninvasive intervention indicated; limiting age-appropriate instrumental </w:t>
      </w:r>
      <w:r>
        <w:rPr>
          <w:b w:val="0"/>
          <w:i w:val="0"/>
        </w:rPr>
        <w:t>activities of daily living (ADL)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Grade 3 </w:t>
      </w:r>
      <w:r>
        <w:rPr>
          <w:b w:val="0"/>
          <w:i w:val="0"/>
        </w:rPr>
        <w:t xml:space="preserve">Severe or medically significant, but not immediately life-threatening; hospitalization or prolongation </w:t>
      </w:r>
      <w:r>
        <w:rPr>
          <w:b w:val="0"/>
          <w:i w:val="0"/>
        </w:rPr>
        <w:t>of hospitalization indicated; disabling; limiting self-care ADL</w:t>
      </w:r>
      <w:r>
        <w:rPr>
          <w:b w:val="0"/>
          <w:i w:val="0"/>
        </w:rPr>
        <w:t>b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Grade 4 </w:t>
      </w:r>
      <w:r>
        <w:rPr>
          <w:b w:val="0"/>
          <w:i w:val="0"/>
        </w:rPr>
        <w:t xml:space="preserve">Life-threatening consequences; urgent intervention indicated. </w:t>
      </w:r>
      <w:r>
        <w:rPr>
          <w:b w:val="0"/>
          <w:i w:val="0"/>
        </w:rPr>
        <w:t xml:space="preserve">Grade 5 </w:t>
      </w:r>
      <w:r>
        <w:rPr>
          <w:b w:val="0"/>
          <w:i w:val="0"/>
        </w:rPr>
        <w:t xml:space="preserve">Death related to AE. </w:t>
      </w:r>
      <w:r>
        <w:rPr>
          <w:b w:val="0"/>
          <w:i w:val="0"/>
        </w:rPr>
        <w:t xml:space="preserve">Abbreviations: ADL = activities of daily living; AE = adverse event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 Instrumental ADL refers to preparing meals, shopping for groceries or clothes, using the telephone, managing </w:t>
      </w:r>
      <w:r>
        <w:rPr>
          <w:b w:val="0"/>
          <w:i w:val="0"/>
        </w:rPr>
        <w:t xml:space="preserve">money, etc. </w:t>
      </w:r>
      <w:r>
        <w:rPr>
          <w:b w:val="0"/>
          <w:i w:val="0"/>
        </w:rPr>
        <w:t>b</w:t>
      </w:r>
      <w:r>
        <w:rPr>
          <w:b w:val="0"/>
          <w:i w:val="0"/>
        </w:rPr>
        <w:t xml:space="preserve">  Self-care ADL refers to bathing, dressing and undressing, feeding self, using the toilet, taking medications, and not </w:t>
      </w:r>
      <w:r>
        <w:rPr>
          <w:b w:val="0"/>
          <w:i w:val="0"/>
        </w:rPr>
        <w:t xml:space="preserve">bedridden. </w:t>
      </w:r>
    </w:p>
    <w:p>
      <w:r>
        <w:rPr>
          <w:b w:val="0"/>
          <w:i w:val="0"/>
        </w:rPr>
        <w:t xml:space="preserve">Any change in the severity of an AE should be documented based on specific guidelines in the </w:t>
      </w:r>
      <w:r>
        <w:rPr>
          <w:b w:val="0"/>
          <w:i w:val="0"/>
        </w:rPr>
        <w:t xml:space="preserve">eCRF Completion Guidelines. </w:t>
      </w:r>
      <w:r>
        <w:rPr>
          <w:b w:val="0"/>
          <w:i w:val="0"/>
        </w:rPr>
        <w:t xml:space="preserve">Severity and seriousness must be differentiated: severity describes the intensity of an AE, while </w:t>
      </w:r>
      <w:r>
        <w:rPr>
          <w:b w:val="0"/>
          <w:i w:val="0"/>
        </w:rPr>
        <w:t>the term seriousness refers to an AE that has met specific criteria for a SAE as described 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Section 11.7.4</w:t>
      </w:r>
      <w:r>
        <w:rPr>
          <w:b w:val="0"/>
          <w:i w:val="0"/>
        </w:rPr>
        <w:t xml:space="preserve">. </w:t>
      </w:r>
    </w:p>
    <w:p>
      <w:r>
        <w:rPr>
          <w:b/>
        </w:rPr>
        <w:t>11.7.3.</w:t>
      </w:r>
    </w:p>
    <w:p>
      <w:r>
        <w:rPr>
          <w:b/>
        </w:rPr>
        <w:t>Causality Assessment</w:t>
      </w:r>
    </w:p>
    <w:p>
      <w:r>
        <w:rPr>
          <w:b w:val="0"/>
          <w:i w:val="0"/>
        </w:rPr>
        <w:t xml:space="preserve">An Investigator must provide a causality assessment (Unrelated, Unlikely, Possible, Probable, or </w:t>
      </w:r>
      <w:r>
        <w:rPr>
          <w:b w:val="0"/>
          <w:i w:val="0"/>
        </w:rPr>
        <w:t xml:space="preserve">Definite) for all AEs (both serious and nonserious) based upon the Investigator’s medical </w:t>
      </w:r>
      <w:r>
        <w:rPr>
          <w:b w:val="0"/>
          <w:i w:val="0"/>
        </w:rPr>
        <w:t>judgment and the observed symptoms associated with the event (</w:t>
      </w:r>
      <w:r>
        <w:rPr>
          <w:b w:val="0"/>
          <w:i w:val="0"/>
        </w:rPr>
        <w:t>Table 9</w:t>
      </w:r>
      <w:r>
        <w:rPr>
          <w:b w:val="0"/>
          <w:i w:val="0"/>
        </w:rPr>
        <w:t xml:space="preserve">). This assessment must </w:t>
      </w:r>
      <w:r>
        <w:rPr>
          <w:b w:val="0"/>
          <w:i w:val="0"/>
        </w:rPr>
        <w:t xml:space="preserve">be recorded on the eCRF and any additional forms as appropriate. </w:t>
      </w:r>
    </w:p>
    <w:p>
      <w:r>
        <w:rPr>
          <w:b/>
        </w:rPr>
        <w:t>Table 9:</w:t>
      </w:r>
    </w:p>
    <w:p>
      <w:r>
        <w:rPr>
          <w:b/>
        </w:rPr>
        <w:t>Causality Assessment Descriptions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Assessment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Not Related/Unrelated</w:t>
            </w:r>
          </w:p>
        </w:tc>
        <w:tc>
          <w:tcPr>
            <w:tcW w:type="dxa" w:w="4320"/>
          </w:tcPr>
          <w:p>
            <w:r>
              <w:t>Suggests that there is no causal association between the investigational product</w:t>
              <w:br/>
              <w:t>and the reported event.</w:t>
            </w:r>
          </w:p>
        </w:tc>
      </w:tr>
      <w:tr>
        <w:tc>
          <w:tcPr>
            <w:tcW w:type="dxa" w:w="4320"/>
          </w:tcPr>
          <w:p>
            <w:r>
              <w:t>Unlikely Related</w:t>
            </w:r>
          </w:p>
        </w:tc>
        <w:tc>
          <w:tcPr>
            <w:tcW w:type="dxa" w:w="4320"/>
          </w:tcPr>
          <w:p>
            <w:r>
              <w:t>Suggests that the clinical picture is highly consistent with a cause other than the</w:t>
              <w:br/>
              <w:t>investigational product but attribution cannot be made with absolute certainty</w:t>
              <w:br/>
              <w:t>and a relationship between the investigational product and AE cannot be</w:t>
              <w:br/>
              <w:t>excluded with complete confidence.</w:t>
            </w:r>
          </w:p>
        </w:tc>
      </w:tr>
      <w:tr>
        <w:tc>
          <w:tcPr>
            <w:tcW w:type="dxa" w:w="4320"/>
          </w:tcPr>
          <w:p>
            <w:r>
              <w:t>Possibly Related</w:t>
            </w:r>
          </w:p>
        </w:tc>
        <w:tc>
          <w:tcPr>
            <w:tcW w:type="dxa" w:w="4320"/>
          </w:tcPr>
          <w:p>
            <w:r>
              <w:t>Suggests that treatment with the investigational product may have caused or</w:t>
              <w:br/>
              <w:t>contributed to the AE (ie, the event follows a reasonable temporal sequence</w:t>
              <w:br/>
              <w:t>from the time of drug administration and/or follows a known response pattern to</w:t>
              <w:br/>
              <w:t>the investigational product, but could also have been produced by other factors).</w:t>
            </w:r>
          </w:p>
        </w:tc>
      </w:tr>
      <w:tr>
        <w:tc>
          <w:tcPr>
            <w:tcW w:type="dxa" w:w="4320"/>
          </w:tcPr>
          <w:p>
            <w:r>
              <w:t>Probably Related</w:t>
            </w:r>
          </w:p>
        </w:tc>
        <w:tc>
          <w:tcPr>
            <w:tcW w:type="dxa" w:w="4320"/>
          </w:tcPr>
          <w:p>
            <w:r>
              <w:t>Suggests that a reasonable temporal sequence of the event with the</w:t>
              <w:br/>
              <w:t>investigational product administration exists and the likely causal association of</w:t>
              <w:br/>
              <w:t>the event with the investigational product. This will be based upon the known</w:t>
              <w:br/>
              <w:t>pharmacological action of the investigational product, known or previously</w:t>
              <w:br/>
              <w:t>reported adverse reactions to the investigational product or class of drugs, or</w:t>
              <w:br/>
              <w:t>judgment based on the Investigator’s clinical experience.</w:t>
            </w:r>
          </w:p>
        </w:tc>
      </w:tr>
      <w:tr>
        <w:tc>
          <w:tcPr>
            <w:tcW w:type="dxa" w:w="4320"/>
          </w:tcPr>
          <w:p>
            <w:r>
              <w:t>Definitely Related</w:t>
            </w:r>
          </w:p>
        </w:tc>
        <w:tc>
          <w:tcPr>
            <w:tcW w:type="dxa" w:w="4320"/>
          </w:tcPr>
          <w:p>
            <w:r>
              <w:t>Temporal relationship to the investigational product, other conditions</w:t>
              <w:br/>
              <w:t>(concurrent illness, concurrent medication reaction, or progression/expression</w:t>
              <w:br/>
              <w:t>of disease state) do not appear to explain event, corresponds with the known</w:t>
              <w:br/>
              <w:t>pharmaceutical profile, improvement on discontinuation, reappearance on</w:t>
              <w:br/>
              <w:t>rechallenge.</w:t>
            </w:r>
          </w:p>
        </w:tc>
      </w:tr>
    </w:tbl>
    <w:p>
      <w:r>
        <w:rPr>
          <w:b/>
          <w:i w:val="0"/>
        </w:rPr>
        <w:t xml:space="preserve">Assessment </w:t>
      </w:r>
      <w:r>
        <w:rPr>
          <w:b/>
          <w:i w:val="0"/>
        </w:rPr>
        <w:t xml:space="preserve">Description </w:t>
      </w:r>
      <w:r>
        <w:rPr>
          <w:b w:val="0"/>
          <w:i w:val="0"/>
        </w:rPr>
        <w:t>Not Related/Unrelated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Suggests that there is no causal association between the investigational product </w:t>
      </w:r>
      <w:r>
        <w:rPr>
          <w:b w:val="0"/>
          <w:i w:val="0"/>
        </w:rPr>
        <w:t xml:space="preserve">and the reported event. </w:t>
      </w:r>
      <w:r>
        <w:rPr>
          <w:b w:val="0"/>
          <w:i w:val="0"/>
        </w:rPr>
        <w:t xml:space="preserve">Unlikely Related </w:t>
      </w:r>
      <w:r>
        <w:rPr>
          <w:b w:val="0"/>
          <w:i w:val="0"/>
        </w:rPr>
        <w:t xml:space="preserve">Suggests that the clinical picture is highly consistent with a cause other than the </w:t>
      </w:r>
      <w:r>
        <w:rPr>
          <w:b w:val="0"/>
          <w:i w:val="0"/>
        </w:rPr>
        <w:t xml:space="preserve">investigational product but attribution cannot be made with absolute certainty </w:t>
      </w:r>
      <w:r>
        <w:rPr>
          <w:b w:val="0"/>
          <w:i w:val="0"/>
        </w:rPr>
        <w:t xml:space="preserve">and a relationship between the investigational product and AE cannot be </w:t>
      </w:r>
      <w:r>
        <w:rPr>
          <w:b w:val="0"/>
          <w:i w:val="0"/>
        </w:rPr>
        <w:t xml:space="preserve">excluded with complete confidence. </w:t>
      </w:r>
      <w:r>
        <w:rPr>
          <w:b w:val="0"/>
          <w:i w:val="0"/>
        </w:rPr>
        <w:t xml:space="preserve">Possibly Related </w:t>
      </w:r>
      <w:r>
        <w:rPr>
          <w:b w:val="0"/>
          <w:i w:val="0"/>
        </w:rPr>
        <w:t xml:space="preserve">Suggests that treatment with the investigational product may have caused or </w:t>
      </w:r>
      <w:r>
        <w:rPr>
          <w:b w:val="0"/>
          <w:i w:val="0"/>
        </w:rPr>
        <w:t xml:space="preserve">contributed to the AE (ie, the event follows a reasonable temporal sequence </w:t>
      </w:r>
      <w:r>
        <w:rPr>
          <w:b w:val="0"/>
          <w:i w:val="0"/>
        </w:rPr>
        <w:t xml:space="preserve">from the time of drug administration and/or follows a known response pattern to </w:t>
      </w:r>
      <w:r>
        <w:rPr>
          <w:b w:val="0"/>
          <w:i w:val="0"/>
        </w:rPr>
        <w:t xml:space="preserve">the investigational product, but could also have been produced by other factors). </w:t>
      </w:r>
      <w:r>
        <w:rPr>
          <w:b w:val="0"/>
          <w:i w:val="0"/>
        </w:rPr>
        <w:t xml:space="preserve">Probably Related </w:t>
      </w:r>
      <w:r>
        <w:rPr>
          <w:b w:val="0"/>
          <w:i w:val="0"/>
        </w:rPr>
        <w:t xml:space="preserve">Suggests that a reasonable temporal sequence of the event with the </w:t>
      </w:r>
      <w:r>
        <w:rPr>
          <w:b w:val="0"/>
          <w:i w:val="0"/>
        </w:rPr>
        <w:t xml:space="preserve">investigational product administration exists and the likely causal association of </w:t>
      </w:r>
      <w:r>
        <w:rPr>
          <w:b w:val="0"/>
          <w:i w:val="0"/>
        </w:rPr>
        <w:t xml:space="preserve">the event with the investigational product. This will be based upon the known </w:t>
      </w:r>
      <w:r>
        <w:rPr>
          <w:b w:val="0"/>
          <w:i w:val="0"/>
        </w:rPr>
        <w:t xml:space="preserve">pharmacological action of the investigational product, known or previously </w:t>
      </w:r>
      <w:r>
        <w:rPr>
          <w:b w:val="0"/>
          <w:i w:val="0"/>
        </w:rPr>
        <w:t xml:space="preserve">reported adverse reactions to the investigational product or class of drugs, or </w:t>
      </w:r>
      <w:r>
        <w:rPr>
          <w:b w:val="0"/>
          <w:i w:val="0"/>
        </w:rPr>
        <w:t xml:space="preserve">judgment based on the Investigator’s clinical experience. </w:t>
      </w:r>
      <w:r>
        <w:rPr>
          <w:b w:val="0"/>
          <w:i w:val="0"/>
        </w:rPr>
        <w:t xml:space="preserve">Definitely Related </w:t>
      </w:r>
      <w:r>
        <w:rPr>
          <w:b w:val="0"/>
          <w:i w:val="0"/>
        </w:rPr>
        <w:t xml:space="preserve">Temporal relationship to the investigational product, other conditions </w:t>
      </w:r>
      <w:r>
        <w:rPr>
          <w:b w:val="0"/>
          <w:i w:val="0"/>
        </w:rPr>
        <w:t xml:space="preserve">(concurrent illness, concurrent medication reaction, or progression/expression </w:t>
      </w:r>
      <w:r>
        <w:rPr>
          <w:b w:val="0"/>
          <w:i w:val="0"/>
        </w:rPr>
        <w:t xml:space="preserve">of disease state) do not appear to explain event, corresponds with the known </w:t>
      </w:r>
      <w:r>
        <w:rPr>
          <w:b w:val="0"/>
          <w:i w:val="0"/>
        </w:rPr>
        <w:t xml:space="preserve">pharmaceutical profile, improvement on discontinuation, reappearance on </w:t>
      </w:r>
      <w:r>
        <w:rPr>
          <w:b w:val="0"/>
          <w:i w:val="0"/>
        </w:rPr>
        <w:t xml:space="preserve">rechallenge.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