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14.1.</w:t>
      </w:r>
    </w:p>
    <w:p>
      <w:r>
        <w:rPr>
          <w:b/>
        </w:rPr>
        <w:t>Data Collection and Storage</w:t>
      </w:r>
    </w:p>
    <w:p>
      <w:r>
        <w:rPr>
          <w:b w:val="0"/>
          <w:i w:val="0"/>
        </w:rPr>
        <w:t xml:space="preserve">All clinical data will be recorded promptly and accurately in the EDC system. When recorded </w:t>
      </w:r>
      <w:r>
        <w:rPr>
          <w:b w:val="0"/>
          <w:i w:val="0"/>
        </w:rPr>
        <w:t xml:space="preserve">electronically, CRFs will be electronically generated. All raw data will be preserved in order to </w:t>
      </w:r>
      <w:r>
        <w:rPr>
          <w:b w:val="0"/>
          <w:i w:val="0"/>
        </w:rPr>
        <w:t xml:space="preserve">maintain data integrity. The Investigator or designee will assume the responsibility of ensuring </w:t>
      </w:r>
      <w:r>
        <w:rPr>
          <w:b w:val="0"/>
          <w:i w:val="0"/>
        </w:rPr>
        <w:t xml:space="preserve">the completeness, accuracy, and timeliness of the clinical data. </w:t>
      </w:r>
      <w:r>
        <w:rPr>
          <w:b w:val="0"/>
          <w:i w:val="0"/>
        </w:rPr>
        <w:t xml:space="preserve">The EDC system is fully validated and compliant with CFR Title 21 Part 11. The EDC system </w:t>
      </w:r>
      <w:r>
        <w:rPr>
          <w:b w:val="0"/>
          <w:i w:val="0"/>
        </w:rPr>
        <w:t xml:space="preserve">will maintain a complete audit trail of all data changes. At each scheduled monitoring visit, the </w:t>
      </w:r>
      <w:r>
        <w:rPr>
          <w:b w:val="0"/>
          <w:i w:val="0"/>
        </w:rPr>
        <w:t xml:space="preserve">Investigator or designee will cooperate with the sponsor’s representative(s) for the periodic </w:t>
      </w:r>
      <w:r>
        <w:rPr>
          <w:b w:val="0"/>
          <w:i w:val="0"/>
        </w:rPr>
        <w:t xml:space="preserve">review of study documents to ensure the accuracy and completeness of the EDC system. </w:t>
      </w:r>
    </w:p>
    <w:p>
      <w:r>
        <w:rPr>
          <w:b w:val="0"/>
          <w:i w:val="0"/>
        </w:rPr>
        <w:t xml:space="preserve">Electronic consistency checks and manual review will be used to identify any errors or </w:t>
      </w:r>
      <w:r>
        <w:rPr>
          <w:b w:val="0"/>
          <w:i w:val="0"/>
        </w:rPr>
        <w:t xml:space="preserve">inconsistencies in the data. This information will be provided to the respective study sites by </w:t>
      </w:r>
      <w:r>
        <w:rPr>
          <w:b w:val="0"/>
          <w:i w:val="0"/>
        </w:rPr>
        <w:t xml:space="preserve">means of electronic or manual queries.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 w:val="0"/>
          <w:i w:val="0"/>
        </w:rPr>
        <w:t xml:space="preserve">The Investigator or designee will prepare and maintain adequate and accurate source documents </w:t>
      </w:r>
      <w:r>
        <w:rPr>
          <w:b w:val="0"/>
          <w:i w:val="0"/>
        </w:rPr>
        <w:t xml:space="preserve">(medical records, ECGs, AE and concomitant medication reporting, raw data collection forms) </w:t>
      </w:r>
      <w:r>
        <w:rPr>
          <w:b w:val="0"/>
          <w:i w:val="0"/>
        </w:rPr>
        <w:t xml:space="preserve">designed to record all observations and other pertinent data for each patient receiving study drug. </w:t>
      </w:r>
      <w:r>
        <w:rPr>
          <w:b w:val="0"/>
          <w:i w:val="0"/>
        </w:rPr>
        <w:t xml:space="preserve">The Investigator will allow the sponsor’s representatives, contract designees, authorized </w:t>
      </w:r>
      <w:r>
        <w:rPr>
          <w:b w:val="0"/>
          <w:i w:val="0"/>
        </w:rPr>
        <w:t xml:space="preserve">regulatory authority inspectors, and the IRB/IEC to have direct access to all documents </w:t>
      </w:r>
      <w:r>
        <w:rPr>
          <w:b w:val="0"/>
          <w:i w:val="0"/>
        </w:rPr>
        <w:t xml:space="preserve">pertaining to the study. </w:t>
      </w:r>
    </w:p>
    <w:p>
      <w:r>
        <w:rPr>
          <w:b/>
        </w:rPr>
        <w:t>14.2.</w:t>
      </w:r>
    </w:p>
    <w:p>
      <w:r>
        <w:rPr>
          <w:b/>
        </w:rPr>
        <w:t>Records Retention</w:t>
      </w:r>
    </w:p>
    <w:p>
      <w:r>
        <w:rPr>
          <w:b w:val="0"/>
          <w:i w:val="0"/>
        </w:rPr>
        <w:t xml:space="preserve">The Investigator must maintain all documentation relating to the study for a period of 2 years </w:t>
      </w:r>
      <w:r>
        <w:rPr>
          <w:b w:val="0"/>
          <w:i w:val="0"/>
        </w:rPr>
        <w:t xml:space="preserve">after the last marketing application approval, or if not approved, 2 years following the </w:t>
      </w:r>
      <w:r>
        <w:rPr>
          <w:b w:val="0"/>
          <w:i w:val="0"/>
        </w:rPr>
        <w:t xml:space="preserve">discontinuance of the test article for investigation or longer if required per local regulations. If it </w:t>
      </w:r>
      <w:r>
        <w:rPr>
          <w:b w:val="0"/>
          <w:i w:val="0"/>
        </w:rPr>
        <w:t xml:space="preserve">becomes necessary for the sponsor or the sponsor’s designee or the Regulatory Authority to </w:t>
      </w:r>
      <w:r>
        <w:rPr>
          <w:b w:val="0"/>
          <w:i w:val="0"/>
        </w:rPr>
        <w:t xml:space="preserve">review any documentation relating to the study, the Investigator must permit access to such </w:t>
      </w:r>
      <w:r>
        <w:rPr>
          <w:b w:val="0"/>
          <w:i w:val="0"/>
        </w:rPr>
        <w:t xml:space="preserve">records.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/>
        </w:rPr>
        <w:t>15.</w:t>
      </w:r>
    </w:p>
    <w:p>
      <w:r>
        <w:rPr>
          <w:b/>
        </w:rPr>
        <w:t>STATISTICAL METHODS AND PLANNED ANALYSES</w:t>
      </w:r>
    </w:p>
    <w:p>
      <w:r>
        <w:rPr>
          <w:b w:val="0"/>
          <w:i w:val="0"/>
        </w:rPr>
        <w:t>The analyses for complement inhibitor treatment-naïve patients (ie, Cohort 1) and eculizumab-</w:t>
      </w:r>
      <w:r>
        <w:rPr>
          <w:b w:val="0"/>
          <w:i w:val="0"/>
        </w:rPr>
        <w:t xml:space="preserve">experienced adolescent patients (ie, Cohort 2) will be conducted and reported separately. </w:t>
      </w:r>
      <w:r>
        <w:rPr>
          <w:b w:val="0"/>
          <w:i w:val="0"/>
        </w:rPr>
        <w:t xml:space="preserve">Analyses specific to Cohort 1 are indicated as such below; all other endpoints will be performed </w:t>
      </w:r>
      <w:r>
        <w:rPr>
          <w:b w:val="0"/>
          <w:i w:val="0"/>
        </w:rPr>
        <w:t xml:space="preserve">for both cohorts. Tabulated summaries will not include a direct comparison between Cohort 1 </w:t>
      </w:r>
      <w:r>
        <w:rPr>
          <w:b w:val="0"/>
          <w:i w:val="0"/>
        </w:rPr>
        <w:t xml:space="preserve">and Cohort 2.  </w:t>
      </w:r>
    </w:p>
    <w:p>
      <w:r>
        <w:rPr>
          <w:b/>
        </w:rPr>
        <w:t>15.1.</w:t>
      </w:r>
    </w:p>
    <w:p>
      <w:r>
        <w:rPr>
          <w:b/>
        </w:rPr>
        <w:t>General Considerations</w:t>
      </w:r>
    </w:p>
    <w:p>
      <w:r>
        <w:rPr>
          <w:b w:val="0"/>
          <w:i w:val="0"/>
        </w:rPr>
        <w:t xml:space="preserve">All data collected will be presented in summary tables and tabulations. All data, as well as any </w:t>
      </w:r>
      <w:r>
        <w:rPr>
          <w:b w:val="0"/>
          <w:i w:val="0"/>
        </w:rPr>
        <w:t xml:space="preserve">outcomes derived from the data, will be presented in detailed data listings. Graphical displays </w:t>
      </w:r>
      <w:r>
        <w:rPr>
          <w:b w:val="0"/>
          <w:i w:val="0"/>
        </w:rPr>
        <w:t>may also be provided, when appropriate. All analyses will be performed using SAS</w:t>
      </w:r>
      <w:r>
        <w:rPr>
          <w:b w:val="0"/>
          <w:i w:val="0"/>
        </w:rPr>
        <w:t>®</w:t>
      </w:r>
      <w:r>
        <w:rPr>
          <w:b w:val="0"/>
          <w:i w:val="0"/>
        </w:rPr>
        <w:t xml:space="preserve"> release, </w:t>
      </w:r>
      <w:r>
        <w:rPr>
          <w:b w:val="0"/>
          <w:i w:val="0"/>
        </w:rPr>
        <w:t xml:space="preserve">version 9.4 or higher (SAS Institute Inc., Cary, NC, USA) or other validated statistical software. </w:t>
      </w:r>
      <w:r>
        <w:rPr>
          <w:b w:val="0"/>
          <w:i w:val="0"/>
        </w:rPr>
        <w:t xml:space="preserve">Continuous variables will be summarized using descriptive statistics, including number of </w:t>
      </w:r>
      <w:r>
        <w:rPr>
          <w:b w:val="0"/>
          <w:i w:val="0"/>
        </w:rPr>
        <w:t xml:space="preserve">observations and mean, standard deviation (SD), median, minimum, and maximum values. </w:t>
      </w:r>
      <w:r>
        <w:rPr>
          <w:b w:val="0"/>
          <w:i w:val="0"/>
        </w:rPr>
        <w:t xml:space="preserve">Categorical variables will be summarized by frequency counts and percentage of patients. Prior </w:t>
      </w:r>
      <w:r>
        <w:rPr>
          <w:b w:val="0"/>
          <w:i w:val="0"/>
        </w:rPr>
        <w:t xml:space="preserve">to finalizing and locking the database, all decisions concerning the inclusion or exclusion of data </w:t>
      </w:r>
      <w:r>
        <w:rPr>
          <w:b w:val="0"/>
          <w:i w:val="0"/>
        </w:rPr>
        <w:t xml:space="preserve">from the analysis for each patient will be determined by appropriate medical and statistical </w:t>
      </w:r>
      <w:r>
        <w:rPr>
          <w:b w:val="0"/>
          <w:i w:val="0"/>
        </w:rPr>
        <w:t xml:space="preserve">personnel. Any and all exclusions will be documented in patient listings.  </w:t>
      </w:r>
    </w:p>
    <w:p>
      <w:r>
        <w:rPr>
          <w:b w:val="0"/>
          <w:i w:val="0"/>
        </w:rPr>
        <w:t xml:space="preserve">Planned summaries will be presented overall and by age groups when applicable. </w:t>
      </w:r>
      <w:r>
        <w:rPr>
          <w:b w:val="0"/>
          <w:i w:val="0"/>
        </w:rPr>
        <w:t xml:space="preserve">Details of the statistical analyses described below will be specified in a separate Statistical </w:t>
      </w:r>
      <w:r>
        <w:rPr>
          <w:b w:val="0"/>
          <w:i w:val="0"/>
        </w:rPr>
        <w:t xml:space="preserve">Analysis Plan (SAP) before database lock and analysis. Any change to the data analysis methods </w:t>
      </w:r>
      <w:r>
        <w:rPr>
          <w:b w:val="0"/>
          <w:i w:val="0"/>
        </w:rPr>
        <w:t xml:space="preserve">described in the protocol will require an amendment only if it changes the primary or key </w:t>
      </w:r>
      <w:r>
        <w:rPr>
          <w:b w:val="0"/>
          <w:i w:val="0"/>
        </w:rPr>
        <w:t xml:space="preserve">secondary objectives or the study conduct. Any other change to the data analysis methods </w:t>
      </w:r>
      <w:r>
        <w:rPr>
          <w:b w:val="0"/>
          <w:i w:val="0"/>
        </w:rPr>
        <w:t xml:space="preserve">described in the protocol or SAP, and the justification for making the change, will be described </w:t>
      </w:r>
      <w:r>
        <w:rPr>
          <w:b w:val="0"/>
          <w:i w:val="0"/>
        </w:rPr>
        <w:t xml:space="preserve">in the clinical study report (CSR). Additional exploratory analyses of the data may be conducted </w:t>
      </w:r>
      <w:r>
        <w:rPr>
          <w:b w:val="0"/>
          <w:i w:val="0"/>
        </w:rPr>
        <w:t xml:space="preserve">as deemed appropriate. </w:t>
      </w:r>
      <w:r>
        <w:rPr>
          <w:b w:val="0"/>
          <w:i w:val="0"/>
        </w:rPr>
        <w:t xml:space="preserve">An interim CSR will be prepared when 12 to 14 complement inhibitor treatment-naïve (ie, </w:t>
      </w:r>
      <w:r>
        <w:rPr>
          <w:b w:val="0"/>
          <w:i w:val="0"/>
        </w:rPr>
        <w:t xml:space="preserve">Cohort 1) patients have completed or withdrawn from the end of the 26-week Initial Evaluation </w:t>
      </w:r>
      <w:r>
        <w:rPr>
          <w:b w:val="0"/>
          <w:i w:val="0"/>
        </w:rPr>
        <w:t xml:space="preserve">Period. An additional interim CSR will be prepared when all study patients have completed or </w:t>
      </w:r>
      <w:r>
        <w:rPr>
          <w:b w:val="0"/>
          <w:i w:val="0"/>
        </w:rPr>
        <w:t xml:space="preserve">withdrawn from the 26-week Initial Evaluation Period. Each interim CSR will include efficacy, </w:t>
      </w:r>
      <w:r>
        <w:rPr>
          <w:b w:val="0"/>
          <w:i w:val="0"/>
        </w:rPr>
        <w:t>safety, and PK</w:t>
      </w:r>
      <w:r>
        <w:rPr>
          <w:b w:val="0"/>
          <w:i w:val="0"/>
        </w:rPr>
        <w:t>/PD</w:t>
      </w:r>
      <w:r>
        <w:rPr>
          <w:b w:val="0"/>
          <w:i w:val="0"/>
        </w:rPr>
        <w:t xml:space="preserve"> analyses. A final CSR to summarize long-term efficacy, safety, and PK</w:t>
      </w:r>
      <w:r>
        <w:rPr>
          <w:b w:val="0"/>
          <w:i w:val="0"/>
        </w:rPr>
        <w:t>/PD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will be produced at study completion. Available exploratory data will be summarized after study </w:t>
      </w:r>
      <w:r>
        <w:rPr>
          <w:b w:val="0"/>
          <w:i w:val="0"/>
        </w:rPr>
        <w:t xml:space="preserve">completion but may not be included in the CSR. </w:t>
      </w:r>
    </w:p>
    <w:p>
      <w:r>
        <w:rPr>
          <w:b w:val="0"/>
          <w:i w:val="0"/>
        </w:rPr>
        <w:t xml:space="preserve">For patients who discontinue ALXN1210 treatment in the Extension Period, but remain in the </w:t>
      </w:r>
      <w:r>
        <w:rPr>
          <w:b w:val="0"/>
          <w:i w:val="0"/>
        </w:rPr>
        <w:t xml:space="preserve">study, their data will be summarized along with data from patients remaining on treatment for </w:t>
      </w:r>
      <w:r>
        <w:rPr>
          <w:b w:val="0"/>
          <w:i w:val="0"/>
        </w:rPr>
        <w:t xml:space="preserve">8 weeks (56 days) after their last dose of study drug. Data beyond this point will be presented in </w:t>
      </w:r>
      <w:r>
        <w:rPr>
          <w:b w:val="0"/>
          <w:i w:val="0"/>
        </w:rPr>
        <w:t xml:space="preserve">separate supplemental listings strictly limited to these patients. If such patients start retreatment </w:t>
      </w:r>
      <w:r>
        <w:rPr>
          <w:b w:val="0"/>
          <w:i w:val="0"/>
        </w:rPr>
        <w:t xml:space="preserve">with ALXN1210, their data from the time of study treatment restart will also be presented in </w:t>
      </w:r>
      <w:r>
        <w:rPr>
          <w:b w:val="0"/>
          <w:i w:val="0"/>
        </w:rPr>
        <w:t xml:space="preserve">separate supplemental listings limited to patients who will have the study treatment restarted. </w:t>
      </w:r>
      <w:r>
        <w:rPr>
          <w:b w:val="0"/>
          <w:i w:val="0"/>
        </w:rPr>
        <w:t xml:space="preserve">However, data on AE, concomitant medications, and nonpharmacologic therapies and </w:t>
      </w:r>
      <w:r>
        <w:rPr>
          <w:b w:val="0"/>
          <w:i w:val="0"/>
        </w:rPr>
        <w:t xml:space="preserve">procedures from the time of treatment restart will be considered treatment emergent or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