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2.</w:t>
      </w:r>
    </w:p>
    <w:p>
      <w:r>
        <w:rPr>
          <w:b/>
        </w:rPr>
        <w:t>SYNOPSIS</w:t>
      </w:r>
    </w:p>
    <w:tbl>
      <w:tblPr>
        <w:tblStyle w:val="TableGrid"/>
        <w:tblW w:type="auto" w:w="0"/>
        <w:tblLook w:firstColumn="1" w:firstRow="1" w:lastColumn="0" w:lastRow="0" w:noHBand="0" w:noVBand="1" w:val="04A0"/>
      </w:tblPr>
      <w:tblGrid>
        <w:gridCol w:w="4320"/>
        <w:gridCol w:w="4320"/>
      </w:tblGrid>
      <w:tr>
        <w:tc>
          <w:tcPr>
            <w:tcW w:type="dxa" w:w="4320"/>
          </w:tcPr>
          <w:p>
            <w:r>
              <w:t>Name of Sponsor/Company: Alexion Pharmaceuticals, Inc.</w:t>
            </w:r>
          </w:p>
        </w:tc>
        <w:tc>
          <w:tcPr>
            <w:tcW w:type="dxa" w:w="4320"/>
          </w:tcPr>
          <w:p>
            <w:r/>
          </w:p>
        </w:tc>
      </w:tr>
      <w:tr>
        <w:tc>
          <w:tcPr>
            <w:tcW w:type="dxa" w:w="4320"/>
          </w:tcPr>
          <w:p>
            <w:r>
              <w:t>Name of Investigational Product: ALXN1210</w:t>
            </w:r>
          </w:p>
        </w:tc>
        <w:tc>
          <w:tcPr>
            <w:tcW w:type="dxa" w:w="4320"/>
          </w:tcPr>
          <w:p>
            <w:r/>
          </w:p>
        </w:tc>
      </w:tr>
      <w:tr>
        <w:tc>
          <w:tcPr>
            <w:tcW w:type="dxa" w:w="4320"/>
          </w:tcPr>
          <w:p>
            <w:r>
              <w:t>Name of Active Ingredient: ALXN1210</w:t>
            </w:r>
          </w:p>
        </w:tc>
        <w:tc>
          <w:tcPr>
            <w:tcW w:type="dxa" w:w="4320"/>
          </w:tcPr>
          <w:p>
            <w:r/>
          </w:p>
        </w:tc>
      </w:tr>
      <w:tr>
        <w:tc>
          <w:tcPr>
            <w:tcW w:type="dxa" w:w="4320"/>
          </w:tcPr>
          <w:p>
            <w:r>
              <w:t>Title of Study: A Phase 3, Open-Label, Multicenter Study of ALXN1210 in Children and Adolescents with</w:t>
              <w:br/>
              <w:t>Atypical Hemolytic Uremic Syndrome (aHUS)</w:t>
            </w:r>
          </w:p>
        </w:tc>
        <w:tc>
          <w:tcPr>
            <w:tcW w:type="dxa" w:w="4320"/>
          </w:tcPr>
          <w:p>
            <w:r/>
          </w:p>
        </w:tc>
      </w:tr>
      <w:tr>
        <w:tc>
          <w:tcPr>
            <w:tcW w:type="dxa" w:w="4320"/>
          </w:tcPr>
          <w:p>
            <w:r>
              <w:t>Protocol Number: ALXN1210-aHUS-312</w:t>
            </w:r>
          </w:p>
        </w:tc>
        <w:tc>
          <w:tcPr>
            <w:tcW w:type="dxa" w:w="4320"/>
          </w:tcPr>
          <w:p>
            <w:r>
              <w:t>EudraCT Number: 2016-002499-29</w:t>
            </w:r>
          </w:p>
        </w:tc>
      </w:tr>
      <w:tr>
        <w:tc>
          <w:tcPr>
            <w:tcW w:type="dxa" w:w="4320"/>
          </w:tcPr>
          <w:p>
            <w:r>
              <w:t>Study Centers: Approximately 70 investigative sites globally.</w:t>
            </w:r>
          </w:p>
        </w:tc>
        <w:tc>
          <w:tcPr>
            <w:tcW w:type="dxa" w:w="4320"/>
          </w:tcPr>
          <w:p>
            <w:r/>
          </w:p>
        </w:tc>
      </w:tr>
      <w:tr>
        <w:tc>
          <w:tcPr>
            <w:tcW w:type="dxa" w:w="4320"/>
          </w:tcPr>
          <w:p>
            <w:r>
              <w:t>Length of Study:</w:t>
              <w:br/>
              <w:t>Date first patient treated: September 2017</w:t>
              <w:br/>
              <w:t>Estimated date last patient completed (last patient last visit):</w:t>
              <w:br/>
              <w:t>TBD</w:t>
            </w:r>
          </w:p>
        </w:tc>
        <w:tc>
          <w:tcPr>
            <w:tcW w:type="dxa" w:w="4320"/>
          </w:tcPr>
          <w:p>
            <w:r>
              <w:t>Phase of Development: 3</w:t>
            </w:r>
          </w:p>
        </w:tc>
      </w:tr>
      <w:tr>
        <w:tc>
          <w:tcPr>
            <w:tcW w:type="dxa" w:w="4320"/>
          </w:tcPr>
          <w:p>
            <w:r>
              <w:t>Primary Objective:</w:t>
              <w:br/>
              <w:t>The primary objective of the study is to assess the efficacy of ALXN1210 in complement inhibitor treatment-naïve</w:t>
              <w:br/>
              <w:t>pediatric patients (ie, Cohort 1) with aHUS to inhibit complement-mediated thrombotic microangiopathy (TMA) as</w:t>
              <w:br/>
              <w:t>characterized by thrombocytopenia, hemolysis, and renal impairment.</w:t>
              <w:br/>
              <w:t>Secondary Objectives:</w:t>
              <w:br/>
              <w:t>The secondary objectives for complement inhibitor treatment-naïve patients (ie, Cohort 1) are to assess the</w:t>
              <w:br/>
              <w:t>following:</w:t>
              <w:br/>
              <w:t>1. To characterize the safety and tolerability of ALXN1210</w:t>
              <w:br/>
              <w:t>2. To evaluate the efficacy of ALXN1210 by the following additional measures:</w:t>
              <w:br/>
              <w:t>a. Dialysis requirement status</w:t>
              <w:br/>
              <w:t>b. Time to Complete TMA Response</w:t>
              <w:br/>
              <w:t>c. Complete TMA Response status over time</w:t>
              <w:br/>
              <w:t>d. Observed value and change from baseline in estimated glomerular filtration rate (eGFR)</w:t>
              <w:br/>
              <w:t>e. Chronic kidney disease (CKD) stage, as evaluated by eGFR at select target days and classified as</w:t>
              <w:br/>
              <w:t>improved, stable (no change), or worsened compared to baseline</w:t>
              <w:br/>
              <w:t>f. Observed value and change from baseline in hematologic parameters (platelets, lactate</w:t>
              <w:br/>
              <w:t>dehydrogenase [LDH], hemoglobin)</w:t>
              <w:br/>
              <w:t>g. Increase in hemoglobin of ≥ 20 g/L from baseline, observed at 2 separate assessments obtained at</w:t>
              <w:br/>
              <w:t>least 4 weeks (28 days) apart, and any measurement in between</w:t>
              <w:br/>
              <w:t>h. Change from baseline in quality of life (QoL), as measured by Pediatric Functional Assessment of</w:t>
              <w:br/>
              <w:t>Chronic Therapy (FACIT) Fatigue questionnaire</w:t>
              <w:br/>
              <w:t>i. TMA parameters in patients who discontinue treatment in the Extension Period, but remain in the</w:t>
              <w:br/>
              <w:t>study</w:t>
              <w:br/>
              <w:t>3. To characterize the pharmacokinetics (PK)/pharmacodynamics (PD) of ALXN1210:</w:t>
              <w:br/>
              <w:t>a. Changes in serum ALXN1210 concentration over time</w:t>
              <w:br/>
              <w:t>b. Changes in serum free complement component 5 (C5) concentrations over time</w:t>
              <w:br/>
              <w:t>c. Changes in serum free C5 and serum ALXN1210 concentration in patients who discontinue treatment</w:t>
              <w:br/>
              <w:t>in the Extension Period, but remain in the study</w:t>
              <w:br/>
              <w:t>4. To evaluate the long-term safety and efficacy of ALXN1210</w:t>
              <w:br/>
              <w:t>The secondary objectives for eculizumab-experienced patients (ie, Cohort 2) are to assess the following:</w:t>
              <w:br/>
              <w:t>1. To characterize the safety and tolerability of ALXN1210</w:t>
              <w:br/>
              <w:t>2. To evaluate the efficacy of ALXN1210 by the following measures:</w:t>
              <w:br/>
              <w:t>a. Dialysis requirement status</w:t>
              <w:br/>
              <w:t>b. Observed value and change from baseline in eGFR</w:t>
              <w:br/>
              <w:t>c. CKD stage, as evaluated by eGFR at select target days and classified as improved, stable (no change),</w:t>
              <w:br/>
              <w:t>or worsened compared to baseline</w:t>
            </w:r>
          </w:p>
        </w:tc>
        <w:tc>
          <w:tcPr>
            <w:tcW w:type="dxa" w:w="4320"/>
          </w:tcPr>
          <w:p>
            <w:r/>
          </w:p>
        </w:tc>
      </w:tr>
    </w:tbl>
    <w:p>
      <w:r>
        <w:rPr>
          <w:b/>
          <w:i w:val="0"/>
        </w:rPr>
        <w:t xml:space="preserve">Name of Sponsor/Company: </w:t>
      </w:r>
      <w:r>
        <w:rPr>
          <w:b w:val="0"/>
          <w:i w:val="0"/>
        </w:rPr>
        <w:t xml:space="preserve">Alexion Pharmaceuticals, Inc. </w:t>
      </w:r>
      <w:r>
        <w:rPr>
          <w:b/>
          <w:i w:val="0"/>
        </w:rPr>
        <w:t xml:space="preserve">Name of Investigational Product: </w:t>
      </w:r>
      <w:r>
        <w:rPr>
          <w:b w:val="0"/>
          <w:i w:val="0"/>
        </w:rPr>
        <w:t xml:space="preserve">ALXN1210 </w:t>
      </w:r>
      <w:r>
        <w:rPr>
          <w:b/>
          <w:i w:val="0"/>
        </w:rPr>
        <w:t xml:space="preserve">Name of Active Ingredient: </w:t>
      </w:r>
      <w:r>
        <w:rPr>
          <w:b w:val="0"/>
          <w:i w:val="0"/>
        </w:rPr>
        <w:t xml:space="preserve">ALXN1210 </w:t>
      </w:r>
      <w:r>
        <w:rPr>
          <w:b/>
          <w:i w:val="0"/>
        </w:rPr>
        <w:t xml:space="preserve">Title of Study: </w:t>
      </w:r>
      <w:r>
        <w:rPr>
          <w:b w:val="0"/>
          <w:i w:val="0"/>
        </w:rPr>
        <w:t xml:space="preserve">A Phase 3, Open-Label, Multicenter Study of ALXN1210 in Children and Adolescents with </w:t>
      </w:r>
      <w:r>
        <w:rPr>
          <w:b w:val="0"/>
          <w:i w:val="0"/>
        </w:rPr>
        <w:t xml:space="preserve">Atypical Hemolytic Uremic Syndrome (aHUS)  </w:t>
      </w:r>
      <w:r>
        <w:rPr>
          <w:b/>
          <w:i w:val="0"/>
        </w:rPr>
        <w:t>EudraCT Number:</w:t>
      </w:r>
      <w:r>
        <w:rPr>
          <w:b w:val="0"/>
          <w:i w:val="0"/>
        </w:rPr>
        <w:t xml:space="preserve"> 2016-002499-29</w:t>
      </w:r>
      <w:r>
        <w:rPr>
          <w:b/>
          <w:i w:val="0"/>
        </w:rPr>
        <w:t xml:space="preserve"> </w:t>
      </w:r>
      <w:r>
        <w:rPr>
          <w:b/>
          <w:i w:val="0"/>
        </w:rPr>
        <w:t xml:space="preserve">Study Centers: </w:t>
      </w:r>
      <w:r>
        <w:rPr>
          <w:b w:val="0"/>
          <w:i w:val="0"/>
        </w:rPr>
        <w:t xml:space="preserve">Approximately 70 investigative sites globally. </w:t>
      </w:r>
      <w:r>
        <w:rPr>
          <w:b/>
          <w:i w:val="0"/>
        </w:rPr>
        <w:t xml:space="preserve">Length of Study:  </w:t>
      </w:r>
      <w:r>
        <w:rPr>
          <w:b/>
          <w:i w:val="0"/>
        </w:rPr>
        <w:t xml:space="preserve">Phase of Development: </w:t>
      </w:r>
      <w:r>
        <w:rPr>
          <w:b w:val="0"/>
          <w:i w:val="0"/>
        </w:rPr>
        <w:t>3</w:t>
      </w:r>
      <w:r>
        <w:rPr>
          <w:b/>
          <w:i w:val="0"/>
        </w:rPr>
        <w:t xml:space="preserve"> </w:t>
      </w:r>
      <w:r>
        <w:rPr>
          <w:b w:val="0"/>
          <w:i w:val="0"/>
        </w:rPr>
        <w:t xml:space="preserve">Date first patient treated: September 2017 </w:t>
      </w:r>
      <w:r>
        <w:rPr>
          <w:b w:val="0"/>
          <w:i w:val="0"/>
        </w:rPr>
        <w:t xml:space="preserve">Estimated date last patient completed (last patient last visit): </w:t>
      </w:r>
      <w:r>
        <w:rPr>
          <w:b w:val="0"/>
          <w:i w:val="0"/>
        </w:rPr>
        <w:t xml:space="preserve">TBD </w:t>
      </w:r>
      <w:r>
        <w:rPr>
          <w:b/>
          <w:i w:val="0"/>
        </w:rPr>
        <w:t xml:space="preserve">Primary Objective: </w:t>
      </w:r>
      <w:r>
        <w:rPr>
          <w:b w:val="0"/>
          <w:i w:val="0"/>
        </w:rPr>
        <w:t xml:space="preserve"> </w:t>
      </w:r>
      <w:r>
        <w:rPr>
          <w:b w:val="0"/>
          <w:i w:val="0"/>
        </w:rPr>
        <w:t xml:space="preserve">The primary objective of the study is to assess the efficacy of ALXN1210 in complement inhibitor treatment-naïve </w:t>
      </w:r>
      <w:r>
        <w:rPr>
          <w:b w:val="0"/>
          <w:i w:val="0"/>
        </w:rPr>
        <w:t xml:space="preserve">pediatric patients (ie, Cohort 1) with aHUS to inhibit complement-mediated thrombotic microangiopathy (TMA) as </w:t>
      </w:r>
      <w:r>
        <w:rPr>
          <w:b w:val="0"/>
          <w:i w:val="0"/>
        </w:rPr>
        <w:t xml:space="preserve">characterized by thrombocytopenia, hemolysis, and renal impairment.  </w:t>
      </w:r>
    </w:p>
    <w:p>
      <w:r>
        <w:rPr>
          <w:b/>
          <w:i w:val="0"/>
        </w:rPr>
        <w:t xml:space="preserve">Secondary Objectives:  </w:t>
      </w:r>
    </w:p>
    <w:p>
      <w:r>
        <w:rPr>
          <w:b w:val="0"/>
          <w:i w:val="0"/>
        </w:rPr>
        <w:t xml:space="preserve">The secondary objectives for complement inhibitor treatment-naïve patients (ie, Cohort 1) are to assess the </w:t>
      </w:r>
      <w:r>
        <w:rPr>
          <w:b w:val="0"/>
          <w:i w:val="0"/>
        </w:rPr>
        <w:t xml:space="preserve">following: </w:t>
      </w:r>
    </w:p>
    <w:p>
      <w:pPr>
        <w:pStyle w:val="ListNumber"/>
      </w:pPr>
      <w:r>
        <w:t>To characterize the safety and tolerability of ALXN1210</w:t>
      </w:r>
    </w:p>
    <w:p>
      <w:pPr>
        <w:pStyle w:val="ListNumber"/>
      </w:pPr>
      <w:r>
        <w:t>To evaluate the efficacy of ALXN1210 by the following additional measures: a. Dialysis requirement status b. Time to Complete TMA Response c. Complete TMA Response status over time d. Observed value and change from baseline in estimated glomerular filtration rate (eGFR) e. Chronic kidney disease (CKD) stage, as evaluated by eGFR at select target days and classified as improved, stable (no change), or worsened compared to baseline f. Observed value and change from baseline in hematologic parameters (platelets, lactate dehydrogenase [LDH], hemoglobin) g. Increase in hemoglobin of ≥ 20 g/L from baseline, observed at 2 separate assessments obtained at least 4 weeks (28 days) apart, and any measurement in between h. Change from baseline in quality of life (QoL), as measured by Pediatric Functional Assessment of Chronic Therapy (FACIT) Fatigue questionnaire i. TMA parameters in patients who discontinue treatment in the Extension Period, but remain in the study</w:t>
      </w:r>
    </w:p>
    <w:p>
      <w:pPr>
        <w:pStyle w:val="ListNumber"/>
      </w:pPr>
      <w:r>
        <w:t>To characterize the pharmacokinetics (PK)/pharmacodynamics (PD) of ALXN1210: a. Changes in serum ALXN1210 concentration over time b. Changes in serum free complement component 5 (C5) concentrations over time c. Changes in serum free C5 and serum ALXN1210 concentration in patients who discontinue treatment in the Extension Period, but remain in the study</w:t>
      </w:r>
    </w:p>
    <w:p>
      <w:pPr>
        <w:pStyle w:val="ListNumber"/>
      </w:pPr>
      <w:r>
        <w:t>To evaluate the long-term safety and efficacy of ALXN1210</w:t>
      </w:r>
    </w:p>
    <w:p>
      <w:r>
        <w:rPr>
          <w:b w:val="0"/>
          <w:i w:val="0"/>
        </w:rPr>
        <w:t xml:space="preserve">The secondary objectives for eculizumab-experienced patients (ie, Cohort 2) are to assess the following: </w:t>
      </w:r>
    </w:p>
    <w:p>
      <w:pPr>
        <w:pStyle w:val="ListNumber"/>
      </w:pPr>
      <w:r>
        <w:t>To characterize the safety and tolerability of ALXN1210</w:t>
      </w:r>
    </w:p>
    <w:p>
      <w:pPr>
        <w:pStyle w:val="ListNumber"/>
      </w:pPr>
      <w:r>
        <w:t>To evaluate the efficacy of ALXN1210 by the following measures: a. Dialysis requirement status b. Observed value and change from baseline in eGFR c. CKD stage, as evaluated by eGFR at select target days and classified as improved, stable (no change), or worsened compared to baseline Alexion Pharmaceuticals, Inc. Amendment 6 (Global) 16 Jul 2019</w:t>
      </w:r>
    </w:p>
    <w:p>
      <w:r>
        <w:rPr>
          <w:b w:val="0"/>
          <w:i w:val="0"/>
        </w:rPr>
        <w:t>d.</w:t>
      </w:r>
      <w:r>
        <w:rPr>
          <w:b w:val="0"/>
          <w:i w:val="0"/>
        </w:rPr>
        <w:t xml:space="preserve"> </w:t>
      </w:r>
      <w:r>
        <w:rPr>
          <w:b w:val="0"/>
          <w:i w:val="0"/>
        </w:rPr>
        <w:t xml:space="preserve">Observed value and change from baseline in hematologic parameters (platelets, LDH, hemoglobin) </w:t>
      </w:r>
      <w:r>
        <w:rPr>
          <w:b w:val="0"/>
          <w:i w:val="0"/>
        </w:rPr>
        <w:t>e.</w:t>
      </w:r>
      <w:r>
        <w:rPr>
          <w:b w:val="0"/>
          <w:i w:val="0"/>
        </w:rPr>
        <w:t xml:space="preserve"> </w:t>
      </w:r>
      <w:r>
        <w:rPr>
          <w:b w:val="0"/>
          <w:i w:val="0"/>
        </w:rPr>
        <w:t xml:space="preserve">Change from baseline in QoL, as measured by Pediatric FACIT Fatigue questionnaire </w:t>
      </w:r>
      <w:r>
        <w:rPr>
          <w:b w:val="0"/>
          <w:i w:val="0"/>
        </w:rPr>
        <w:t>f.</w:t>
      </w:r>
      <w:r>
        <w:rPr>
          <w:b w:val="0"/>
          <w:i w:val="0"/>
        </w:rPr>
        <w:t xml:space="preserve"> </w:t>
      </w:r>
      <w:r>
        <w:rPr>
          <w:b w:val="0"/>
          <w:i w:val="0"/>
        </w:rPr>
        <w:t xml:space="preserve">TMA parameters in patients who discontinue treatment in the Extension Period, but remain in the </w:t>
      </w:r>
      <w:r>
        <w:rPr>
          <w:b w:val="0"/>
          <w:i w:val="0"/>
        </w:rPr>
        <w:t xml:space="preserve">study </w:t>
      </w:r>
    </w:p>
    <w:p>
      <w:pPr>
        <w:pStyle w:val="ListNumber"/>
      </w:pPr>
      <w:r>
        <w:t>To characterize the PK/PD of ALXN1210: a. Changes in serum ALXN1210 concentration over time b. Changes in serum free C5 concentrations over time c. Changes in serum free C5 and serum ALXN1210 concentration in patients who discontinue treatment in the Extension Period, but remain in the study</w:t>
      </w:r>
    </w:p>
    <w:p>
      <w:pPr>
        <w:pStyle w:val="ListNumber"/>
      </w:pPr>
      <w:r>
        <w:t>To evaluate the long-term safety and efficacy of ALXN1210</w:t>
      </w:r>
    </w:p>
    <w:p>
      <w:r>
        <w:rPr>
          <w:b/>
          <w:i w:val="0"/>
        </w:rPr>
        <w:t xml:space="preserve">Study Design and Methodology:  </w:t>
      </w:r>
      <w:r>
        <w:rPr>
          <w:b w:val="0"/>
          <w:i w:val="0"/>
        </w:rPr>
        <w:t xml:space="preserve">This is a Phase 3, single-treatment arm, multicenter study to evaluate the safety, efficacy, PK, and PD of </w:t>
      </w:r>
      <w:r>
        <w:rPr>
          <w:b w:val="0"/>
          <w:i w:val="0"/>
        </w:rPr>
        <w:t xml:space="preserve">ALXN1210 administered by intravenous (IV) infusion in approximately 23 to 28 pediatric patients, from birth to </w:t>
      </w:r>
      <w:r>
        <w:rPr>
          <w:b w:val="0"/>
          <w:i w:val="0"/>
        </w:rPr>
        <w:t xml:space="preserve">&lt; 18 years of age, with confirmed diagnosis of aHUS. The study has 2 cohorts. Cohort 1 includes complement </w:t>
      </w:r>
      <w:r>
        <w:rPr>
          <w:b w:val="0"/>
          <w:i w:val="0"/>
        </w:rPr>
        <w:t xml:space="preserve">inhibitor treatment-naïve patients; Cohort 2 includes eculizumab-experienced adolescent patients (12 to &lt; 18 years </w:t>
      </w:r>
      <w:r>
        <w:rPr>
          <w:b w:val="0"/>
          <w:i w:val="0"/>
        </w:rPr>
        <w:t xml:space="preserve">of age). The study consists of a Screening Period (of up to 7 days for Cohort 1 or up to 28 days for Cohort 2), a </w:t>
      </w:r>
      <w:r>
        <w:rPr>
          <w:b w:val="0"/>
          <w:i w:val="0"/>
        </w:rPr>
        <w:t xml:space="preserve">26-week Initial Evaluation Period, and an Extension Period until the product is registered or approved (in </w:t>
      </w:r>
      <w:r>
        <w:rPr>
          <w:b w:val="0"/>
          <w:i w:val="0"/>
        </w:rPr>
        <w:t xml:space="preserve">accordance with country-specific regulations) or for up to 4.5 years, whichever occurs first. </w:t>
      </w:r>
    </w:p>
    <w:p>
      <w:r>
        <w:rPr>
          <w:b w:val="0"/>
          <w:i w:val="0"/>
        </w:rPr>
        <w:t xml:space="preserve">Abbreviations: q4w = once every 4 weeks; q8w = once every 8 weeks </w:t>
      </w:r>
      <w:r>
        <w:rPr>
          <w:b w:val="0"/>
          <w:i w:val="0"/>
        </w:rPr>
        <w:t xml:space="preserve"> </w:t>
      </w:r>
      <w:r>
        <w:rPr>
          <w:b w:val="0"/>
          <w:i w:val="0"/>
        </w:rPr>
        <w:t>a</w:t>
      </w:r>
      <w:r>
        <w:rPr>
          <w:b w:val="0"/>
          <w:i w:val="0"/>
        </w:rPr>
        <w:t xml:space="preserve"> The Screening Period is up to 7 days for complement inhibitor treatment-naïve patients (ie, Cohort 1) and up to </w:t>
      </w:r>
      <w:r>
        <w:rPr>
          <w:b w:val="0"/>
          <w:i w:val="0"/>
        </w:rPr>
        <w:t xml:space="preserve">28 days for eculizumab-experienced adolescent patients (ie, Cohort 2).  </w:t>
      </w:r>
    </w:p>
    <w:p>
      <w:r>
        <w:rPr>
          <w:b w:val="0"/>
          <w:i w:val="0"/>
        </w:rPr>
        <w:t xml:space="preserve">Consenting patients in Cohort 1 will be screened for study eligibility up to 7 days prior to Day 1. Consenting </w:t>
      </w:r>
      <w:r>
        <w:rPr>
          <w:b w:val="0"/>
          <w:i w:val="0"/>
        </w:rPr>
        <w:t xml:space="preserve">patients in Cohort 2 will be screened for study eligibility up to 28 days prior to Day 1; first dose of study drug will </w:t>
      </w:r>
      <w:r>
        <w:rPr>
          <w:b w:val="0"/>
          <w:i w:val="0"/>
        </w:rPr>
        <w:t xml:space="preserve">be given 14 days from the eligible patient’s last dose of eculizumab. Patients who are eligible based on the </w:t>
      </w:r>
      <w:r>
        <w:rPr>
          <w:b w:val="0"/>
          <w:i w:val="0"/>
        </w:rPr>
        <w:t xml:space="preserve">Inclusion and Exclusion Criteria will be enrolled into the Initial Evaluation Period and receive a weight-based </w:t>
      </w:r>
      <w:r>
        <w:rPr>
          <w:b w:val="0"/>
          <w:i w:val="0"/>
        </w:rPr>
        <w:t xml:space="preserve">loading dose of ALXN1210 on Day 1, followed by weight-based maintenance treatment with ALXN1210 on Day </w:t>
      </w:r>
      <w:r>
        <w:rPr>
          <w:b w:val="0"/>
          <w:i w:val="0"/>
        </w:rPr>
        <w:t xml:space="preserve">15 and q8w thereafter for patients weighing </w:t>
      </w:r>
      <w:r>
        <w:rPr>
          <w:b w:val="0"/>
          <w:i w:val="0"/>
        </w:rPr>
        <w:t>≥</w:t>
      </w:r>
      <w:r>
        <w:rPr>
          <w:b w:val="0"/>
          <w:i w:val="0"/>
        </w:rPr>
        <w:t xml:space="preserve"> 20 kg, or once every 4 weeks (q4w) for patients weighing &lt; 20 kg, </w:t>
      </w:r>
      <w:r>
        <w:rPr>
          <w:b w:val="0"/>
          <w:i w:val="0"/>
        </w:rPr>
        <w:t xml:space="preserve">for a total of 26 weeks of treatment. Weight-based dosing is based on the patient’s body weight recorded on Dose </w:t>
      </w:r>
      <w:r>
        <w:rPr>
          <w:b w:val="0"/>
          <w:i w:val="0"/>
        </w:rPr>
        <w:t xml:space="preserve">Regimen Decision Days (if the Dose Regimen Day is a dosing day, body weight will be recorded predose), as </w:t>
      </w:r>
      <w:r>
        <w:rPr>
          <w:b w:val="0"/>
          <w:i w:val="0"/>
        </w:rPr>
        <w:t xml:space="preserve">shown in the table below: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Body Weight</w:t>
              <w:br/>
              <w:t>Range (kg)a</w:t>
            </w:r>
          </w:p>
        </w:tc>
        <w:tc>
          <w:tcPr>
            <w:tcW w:type="dxa" w:w="2160"/>
          </w:tcPr>
          <w:p>
            <w:r>
              <w:t>Loading Dose (mg)</w:t>
            </w:r>
          </w:p>
        </w:tc>
        <w:tc>
          <w:tcPr>
            <w:tcW w:type="dxa" w:w="2160"/>
          </w:tcPr>
          <w:p>
            <w:r>
              <w:t>Maintenance Doses (mg)</w:t>
            </w:r>
          </w:p>
        </w:tc>
        <w:tc>
          <w:tcPr>
            <w:tcW w:type="dxa" w:w="2160"/>
          </w:tcPr>
          <w:p>
            <w:r>
              <w:t>Maintenance Dosing Frequency</w:t>
            </w:r>
          </w:p>
        </w:tc>
      </w:tr>
      <w:tr>
        <w:tc>
          <w:tcPr>
            <w:tcW w:type="dxa" w:w="2160"/>
          </w:tcPr>
          <w:p>
            <w:r>
              <w:t>≥ 5 to &lt; 10</w:t>
            </w:r>
          </w:p>
        </w:tc>
        <w:tc>
          <w:tcPr>
            <w:tcW w:type="dxa" w:w="2160"/>
          </w:tcPr>
          <w:p>
            <w:r>
              <w:t>600</w:t>
            </w:r>
          </w:p>
        </w:tc>
        <w:tc>
          <w:tcPr>
            <w:tcW w:type="dxa" w:w="2160"/>
          </w:tcPr>
          <w:p>
            <w:r>
              <w:t>300</w:t>
            </w:r>
          </w:p>
        </w:tc>
        <w:tc>
          <w:tcPr>
            <w:tcW w:type="dxa" w:w="2160"/>
          </w:tcPr>
          <w:p>
            <w:r>
              <w:t>q4w</w:t>
            </w:r>
          </w:p>
        </w:tc>
      </w:tr>
      <w:tr>
        <w:tc>
          <w:tcPr>
            <w:tcW w:type="dxa" w:w="2160"/>
          </w:tcPr>
          <w:p>
            <w:r>
              <w:t>≥ 10 to &lt; 20</w:t>
            </w:r>
          </w:p>
        </w:tc>
        <w:tc>
          <w:tcPr>
            <w:tcW w:type="dxa" w:w="2160"/>
          </w:tcPr>
          <w:p>
            <w:r>
              <w:t>600</w:t>
            </w:r>
          </w:p>
        </w:tc>
        <w:tc>
          <w:tcPr>
            <w:tcW w:type="dxa" w:w="2160"/>
          </w:tcPr>
          <w:p>
            <w:r>
              <w:t>600</w:t>
            </w:r>
          </w:p>
        </w:tc>
        <w:tc>
          <w:tcPr>
            <w:tcW w:type="dxa" w:w="2160"/>
          </w:tcPr>
          <w:p>
            <w:r>
              <w:t>q4w</w:t>
            </w:r>
          </w:p>
        </w:tc>
      </w:tr>
      <w:tr>
        <w:tc>
          <w:tcPr>
            <w:tcW w:type="dxa" w:w="2160"/>
          </w:tcPr>
          <w:p>
            <w:r>
              <w:t>≥ 20 to &lt; 30</w:t>
            </w:r>
          </w:p>
        </w:tc>
        <w:tc>
          <w:tcPr>
            <w:tcW w:type="dxa" w:w="2160"/>
          </w:tcPr>
          <w:p>
            <w:r>
              <w:t>900</w:t>
            </w:r>
          </w:p>
        </w:tc>
        <w:tc>
          <w:tcPr>
            <w:tcW w:type="dxa" w:w="2160"/>
          </w:tcPr>
          <w:p>
            <w:r>
              <w:t>2100</w:t>
            </w:r>
          </w:p>
        </w:tc>
        <w:tc>
          <w:tcPr>
            <w:tcW w:type="dxa" w:w="2160"/>
          </w:tcPr>
          <w:p>
            <w:r>
              <w:t>q8w</w:t>
            </w:r>
          </w:p>
        </w:tc>
      </w:tr>
      <w:tr>
        <w:tc>
          <w:tcPr>
            <w:tcW w:type="dxa" w:w="2160"/>
          </w:tcPr>
          <w:p>
            <w:r>
              <w:t>≥ 30 to &lt; 40</w:t>
            </w:r>
          </w:p>
        </w:tc>
        <w:tc>
          <w:tcPr>
            <w:tcW w:type="dxa" w:w="2160"/>
          </w:tcPr>
          <w:p>
            <w:r>
              <w:t>1200</w:t>
            </w:r>
          </w:p>
        </w:tc>
        <w:tc>
          <w:tcPr>
            <w:tcW w:type="dxa" w:w="2160"/>
          </w:tcPr>
          <w:p>
            <w:r>
              <w:t>2700</w:t>
            </w:r>
          </w:p>
        </w:tc>
        <w:tc>
          <w:tcPr>
            <w:tcW w:type="dxa" w:w="2160"/>
          </w:tcPr>
          <w:p>
            <w:r>
              <w:t>q8w</w:t>
            </w:r>
          </w:p>
        </w:tc>
      </w:tr>
    </w:tbl>
    <w:p>
      <w:r>
        <w:rPr>
          <w:b/>
          <w:i w:val="0"/>
        </w:rPr>
        <w:t xml:space="preserve">Body Weight </w:t>
      </w:r>
      <w:r>
        <w:rPr>
          <w:b/>
          <w:i w:val="0"/>
        </w:rPr>
        <w:t xml:space="preserve">Loading Dose (mg) </w:t>
      </w:r>
      <w:r>
        <w:rPr>
          <w:b/>
          <w:i w:val="0"/>
        </w:rPr>
        <w:t xml:space="preserve">Maintenance Doses (mg) </w:t>
      </w:r>
      <w:r>
        <w:rPr>
          <w:b/>
          <w:i w:val="0"/>
        </w:rPr>
        <w:t xml:space="preserve">Maintenance Dosing Frequency  </w:t>
      </w:r>
      <w:r>
        <w:rPr>
          <w:b/>
          <w:i w:val="0"/>
        </w:rPr>
        <w:t>Range (kg)</w:t>
      </w:r>
      <w:r>
        <w:rPr>
          <w:b/>
          <w:i w:val="0"/>
        </w:rPr>
        <w:t>a</w:t>
      </w:r>
      <w:r>
        <w:rPr>
          <w:b/>
          <w:i w:val="0"/>
        </w:rPr>
        <w:t xml:space="preserve"> </w:t>
      </w:r>
      <w:r>
        <w:rPr>
          <w:b w:val="0"/>
          <w:i w:val="0"/>
        </w:rPr>
        <w:t xml:space="preserve">≥ </w:t>
      </w:r>
      <w:r>
        <w:rPr>
          <w:b w:val="0"/>
          <w:i w:val="0"/>
        </w:rPr>
        <w:t xml:space="preserve">5 to &lt; 10 </w:t>
      </w:r>
      <w:r>
        <w:rPr>
          <w:b w:val="0"/>
          <w:i w:val="0"/>
        </w:rPr>
        <w:t xml:space="preserve">q4w </w:t>
      </w:r>
      <w:r>
        <w:rPr>
          <w:b w:val="0"/>
          <w:i w:val="0"/>
        </w:rPr>
        <w:t xml:space="preserve">≥ </w:t>
      </w:r>
      <w:r>
        <w:rPr>
          <w:b w:val="0"/>
          <w:i w:val="0"/>
        </w:rPr>
        <w:t xml:space="preserve">10 to &lt; 20 </w:t>
      </w:r>
      <w:r>
        <w:rPr>
          <w:b w:val="0"/>
          <w:i w:val="0"/>
        </w:rPr>
        <w:t xml:space="preserve">q4w </w:t>
      </w:r>
      <w:r>
        <w:rPr>
          <w:b w:val="0"/>
          <w:i w:val="0"/>
        </w:rPr>
        <w:t xml:space="preserve">≥ </w:t>
      </w:r>
      <w:r>
        <w:rPr>
          <w:b w:val="0"/>
          <w:i w:val="0"/>
        </w:rPr>
        <w:t xml:space="preserve">20 to &lt; 30 </w:t>
      </w:r>
      <w:r>
        <w:rPr>
          <w:b w:val="0"/>
          <w:i w:val="0"/>
        </w:rPr>
        <w:t xml:space="preserve">q8w </w:t>
      </w:r>
      <w:r>
        <w:rPr>
          <w:b w:val="0"/>
          <w:i w:val="0"/>
        </w:rPr>
        <w:t xml:space="preserve">≥ </w:t>
      </w:r>
      <w:r>
        <w:rPr>
          <w:b w:val="0"/>
          <w:i w:val="0"/>
        </w:rPr>
        <w:t xml:space="preserve">30 to &lt; 40 </w:t>
      </w:r>
      <w:r>
        <w:rPr>
          <w:b w:val="0"/>
          <w:i w:val="0"/>
        </w:rPr>
        <w:t xml:space="preserve">q8w </w:t>
      </w:r>
    </w:p>
    <w:p>
      <w:r>
        <w:rPr>
          <w:b w:val="0"/>
          <w:i w:val="0"/>
        </w:rPr>
        <w:t xml:space="preserve">Alexion Pharmaceuticals, Inc. </w:t>
      </w:r>
      <w:r>
        <w:rPr>
          <w:b w:val="0"/>
          <w:i w:val="0"/>
        </w:rPr>
        <w:t>Amendment 6 (Global) 16 Jul 2019</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 40 to &lt; 60</w:t>
            </w:r>
          </w:p>
        </w:tc>
        <w:tc>
          <w:tcPr>
            <w:tcW w:type="dxa" w:w="2160"/>
          </w:tcPr>
          <w:p>
            <w:r>
              <w:t>2400</w:t>
            </w:r>
          </w:p>
        </w:tc>
        <w:tc>
          <w:tcPr>
            <w:tcW w:type="dxa" w:w="2160"/>
          </w:tcPr>
          <w:p>
            <w:r>
              <w:t>3000</w:t>
            </w:r>
          </w:p>
        </w:tc>
        <w:tc>
          <w:tcPr>
            <w:tcW w:type="dxa" w:w="2160"/>
          </w:tcPr>
          <w:p>
            <w:r>
              <w:t>q8w</w:t>
            </w:r>
          </w:p>
        </w:tc>
      </w:tr>
      <w:tr>
        <w:tc>
          <w:tcPr>
            <w:tcW w:type="dxa" w:w="2160"/>
          </w:tcPr>
          <w:p>
            <w:r>
              <w:t>≥ 60 to &lt; 100</w:t>
            </w:r>
          </w:p>
        </w:tc>
        <w:tc>
          <w:tcPr>
            <w:tcW w:type="dxa" w:w="2160"/>
          </w:tcPr>
          <w:p>
            <w:r>
              <w:t>2700</w:t>
            </w:r>
          </w:p>
        </w:tc>
        <w:tc>
          <w:tcPr>
            <w:tcW w:type="dxa" w:w="2160"/>
          </w:tcPr>
          <w:p>
            <w:r>
              <w:t>3300</w:t>
            </w:r>
          </w:p>
        </w:tc>
        <w:tc>
          <w:tcPr>
            <w:tcW w:type="dxa" w:w="2160"/>
          </w:tcPr>
          <w:p>
            <w:r>
              <w:t>q8w</w:t>
            </w:r>
          </w:p>
        </w:tc>
      </w:tr>
      <w:tr>
        <w:tc>
          <w:tcPr>
            <w:tcW w:type="dxa" w:w="2160"/>
          </w:tcPr>
          <w:p>
            <w:r>
              <w:t>≥ 100</w:t>
            </w:r>
          </w:p>
        </w:tc>
        <w:tc>
          <w:tcPr>
            <w:tcW w:type="dxa" w:w="2160"/>
          </w:tcPr>
          <w:p>
            <w:r>
              <w:t>3000</w:t>
            </w:r>
          </w:p>
        </w:tc>
        <w:tc>
          <w:tcPr>
            <w:tcW w:type="dxa" w:w="2160"/>
          </w:tcPr>
          <w:p>
            <w:r>
              <w:t>3600</w:t>
            </w:r>
          </w:p>
        </w:tc>
        <w:tc>
          <w:tcPr>
            <w:tcW w:type="dxa" w:w="2160"/>
          </w:tcPr>
          <w:p>
            <w:r>
              <w:t>q8w</w:t>
            </w:r>
          </w:p>
        </w:tc>
      </w:tr>
    </w:tbl>
    <w:p>
      <w:r>
        <w:rPr>
          <w:b w:val="0"/>
          <w:i w:val="0"/>
        </w:rPr>
        <w:t xml:space="preserve">≥ </w:t>
      </w:r>
      <w:r>
        <w:rPr>
          <w:b w:val="0"/>
          <w:i w:val="0"/>
        </w:rPr>
        <w:t xml:space="preserve">40 to &lt; 60 </w:t>
      </w:r>
      <w:r>
        <w:rPr>
          <w:b w:val="0"/>
          <w:i w:val="0"/>
        </w:rPr>
        <w:t xml:space="preserve">q8w </w:t>
      </w:r>
      <w:r>
        <w:rPr>
          <w:b w:val="0"/>
          <w:i w:val="0"/>
        </w:rPr>
        <w:t xml:space="preserve">≥ </w:t>
      </w:r>
      <w:r>
        <w:rPr>
          <w:b w:val="0"/>
          <w:i w:val="0"/>
        </w:rPr>
        <w:t xml:space="preserve">60 to &lt; 100 </w:t>
      </w:r>
      <w:r>
        <w:rPr>
          <w:b w:val="0"/>
          <w:i w:val="0"/>
        </w:rPr>
        <w:t xml:space="preserve">q8w </w:t>
      </w:r>
      <w:r>
        <w:rPr>
          <w:b w:val="0"/>
          <w:i w:val="0"/>
        </w:rPr>
        <w:t>≥ 100</w:t>
      </w:r>
      <w:r>
        <w:rPr>
          <w:b w:val="0"/>
          <w:i w:val="0"/>
        </w:rPr>
        <w:t xml:space="preserve"> </w:t>
      </w:r>
      <w:r>
        <w:rPr>
          <w:b w:val="0"/>
          <w:i w:val="0"/>
        </w:rPr>
        <w:t xml:space="preserve">q8w </w:t>
      </w:r>
      <w:r>
        <w:rPr>
          <w:b w:val="0"/>
          <w:i w:val="0"/>
        </w:rPr>
        <w:t xml:space="preserve">Abbreviations: q4w = once every 4 weeks; q8w = once every 8 weeks  </w:t>
      </w:r>
      <w:r>
        <w:rPr>
          <w:b w:val="0"/>
          <w:i w:val="0"/>
        </w:rPr>
        <w:t>a</w:t>
      </w:r>
      <w:r>
        <w:rPr>
          <w:b w:val="0"/>
          <w:i w:val="0"/>
        </w:rPr>
        <w:t xml:space="preserve"> Body weight as recorded on Dose Regimen Decision Days. If the Dose Regimen Day is also dosing day, body </w:t>
      </w:r>
      <w:r>
        <w:rPr>
          <w:b w:val="0"/>
          <w:i w:val="0"/>
        </w:rPr>
        <w:t xml:space="preserve">weight will be recorded predose with dosing that day based on the previous Dose Regimen Day body weight. </w:t>
      </w:r>
    </w:p>
    <w:p>
      <w:r>
        <w:rPr>
          <w:b w:val="0"/>
          <w:i w:val="0"/>
        </w:rPr>
        <w:t xml:space="preserve">An initial analysis, including review of ALXN1210 PK and serum free C5 levels, will be conducted after 4 </w:t>
      </w:r>
      <w:r>
        <w:rPr>
          <w:b w:val="0"/>
          <w:i w:val="0"/>
        </w:rPr>
        <w:t xml:space="preserve">complement inhibitor treatment-naïve (ie, Cohort 1) patients weighing </w:t>
      </w:r>
      <w:r>
        <w:rPr>
          <w:b w:val="0"/>
          <w:i w:val="0"/>
        </w:rPr>
        <w:t>≥</w:t>
      </w:r>
      <w:r>
        <w:rPr>
          <w:b w:val="0"/>
          <w:i w:val="0"/>
        </w:rPr>
        <w:t xml:space="preserve"> 5 kg to &lt; 40 kg have completed dosing </w:t>
      </w:r>
      <w:r>
        <w:rPr>
          <w:b w:val="0"/>
          <w:i w:val="0"/>
        </w:rPr>
        <w:t xml:space="preserve">through Day 71. In addition, safety data will be reviewed by an independent Data Monitoring Committee (DMC). </w:t>
      </w:r>
      <w:r>
        <w:rPr>
          <w:b w:val="0"/>
          <w:i w:val="0"/>
        </w:rPr>
        <w:t xml:space="preserve">Enrollment of patients will proceed without interruption while the analysis is ongoing. The primary purpose of this </w:t>
      </w:r>
      <w:r>
        <w:rPr>
          <w:b w:val="0"/>
          <w:i w:val="0"/>
        </w:rPr>
        <w:t xml:space="preserve">review is to assure patients are achieving adequate complement inhibition during this study with the goal of </w:t>
      </w:r>
      <w:r>
        <w:rPr>
          <w:b w:val="0"/>
          <w:i w:val="0"/>
        </w:rPr>
        <w:t xml:space="preserve">achieving complete terminal complement blockade. Based on this review, if dose adjustment is considered needed </w:t>
      </w:r>
      <w:r>
        <w:rPr>
          <w:b w:val="0"/>
          <w:i w:val="0"/>
        </w:rPr>
        <w:t xml:space="preserve">and tolerable, subsequent treatment for all patients will continue at the adjusted dose regimen. After the Initial </w:t>
      </w:r>
      <w:r>
        <w:rPr>
          <w:b w:val="0"/>
          <w:i w:val="0"/>
        </w:rPr>
        <w:t xml:space="preserve">Evaluation Period, patients will roll over into an Extension Period in which all patients continue their weight-based </w:t>
      </w:r>
      <w:r>
        <w:rPr>
          <w:b w:val="0"/>
          <w:i w:val="0"/>
        </w:rPr>
        <w:t xml:space="preserve">maintenance dose of ALXN1210 on Day 183 and q8w thereafter for patients weighing </w:t>
      </w:r>
      <w:r>
        <w:rPr>
          <w:b w:val="0"/>
          <w:i w:val="0"/>
        </w:rPr>
        <w:t>≥</w:t>
      </w:r>
      <w:r>
        <w:rPr>
          <w:b w:val="0"/>
          <w:i w:val="0"/>
        </w:rPr>
        <w:t xml:space="preserve"> 20 kg, or q4w for patients </w:t>
      </w:r>
      <w:r>
        <w:rPr>
          <w:b w:val="0"/>
          <w:i w:val="0"/>
        </w:rPr>
        <w:t xml:space="preserve">weighing &lt; 20 kg, until the product is registered or approved (in accordance with country-specific regulation) or </w:t>
      </w:r>
      <w:r>
        <w:rPr>
          <w:b w:val="0"/>
          <w:i w:val="0"/>
        </w:rPr>
        <w:t xml:space="preserve">for up to 4.5 years, whichever occurs first. Note, q4w visits during the Extension Period are not applicable for </w:t>
      </w:r>
      <w:r>
        <w:rPr>
          <w:b w:val="0"/>
          <w:i w:val="0"/>
        </w:rPr>
        <w:t xml:space="preserve">patients weighing ≥ 20 kg and receiving ALXN1210 q8w. </w:t>
      </w:r>
      <w:r>
        <w:rPr>
          <w:b w:val="0"/>
          <w:i w:val="0"/>
        </w:rPr>
        <w:t xml:space="preserve">The end of trial is defined as the last patient’s last visit </w:t>
      </w:r>
      <w:r>
        <w:rPr>
          <w:b w:val="0"/>
          <w:i w:val="0"/>
        </w:rPr>
        <w:t xml:space="preserve">or follow-up (whether on site or via phone call) of the 4.5-year Extension Period, whichever is later.  </w:t>
      </w:r>
    </w:p>
    <w:p>
      <w:r>
        <w:rPr>
          <w:b/>
          <w:i w:val="0"/>
        </w:rPr>
        <w:t xml:space="preserve">Number of Patients (planned): </w:t>
      </w:r>
      <w:r>
        <w:rPr>
          <w:b w:val="0"/>
          <w:i w:val="0"/>
        </w:rPr>
        <w:t xml:space="preserve">Approximately 23 to 28 pediatric patients with documented aHUS are planned. </w:t>
      </w:r>
      <w:r>
        <w:rPr>
          <w:b w:val="0"/>
          <w:i w:val="0"/>
        </w:rPr>
        <w:t xml:space="preserve">The minimum number of patients for each age category is as follows: </w:t>
      </w:r>
      <w:r>
        <w:rPr>
          <w:b w:val="0"/>
          <w:i w:val="0"/>
        </w:rPr>
        <w:t>•</w:t>
      </w:r>
      <w:r>
        <w:rPr>
          <w:b w:val="0"/>
          <w:i w:val="0"/>
        </w:rPr>
        <w:t xml:space="preserve"> </w:t>
      </w:r>
      <w:r>
        <w:rPr>
          <w:b w:val="0"/>
          <w:i w:val="0"/>
        </w:rPr>
        <w:t xml:space="preserve">Birth to &lt; 2 years: 4 patients </w:t>
      </w:r>
      <w:r>
        <w:rPr>
          <w:b w:val="0"/>
          <w:i w:val="0"/>
        </w:rPr>
        <w:t>•</w:t>
      </w:r>
      <w:r>
        <w:rPr>
          <w:b w:val="0"/>
          <w:i w:val="0"/>
        </w:rPr>
        <w:t xml:space="preserve"> </w:t>
      </w:r>
      <w:r>
        <w:rPr>
          <w:b w:val="0"/>
          <w:i w:val="0"/>
        </w:rPr>
        <w:t xml:space="preserve">2 to &lt; 6 years: 4 patients </w:t>
      </w:r>
      <w:r>
        <w:rPr>
          <w:b w:val="0"/>
          <w:i w:val="0"/>
        </w:rPr>
        <w:t>•</w:t>
      </w:r>
      <w:r>
        <w:rPr>
          <w:b w:val="0"/>
          <w:i w:val="0"/>
        </w:rPr>
        <w:t xml:space="preserve"> </w:t>
      </w:r>
      <w:r>
        <w:rPr>
          <w:b w:val="0"/>
          <w:i w:val="0"/>
        </w:rPr>
        <w:t xml:space="preserve">6 to &lt; 12 years: 4 patients </w:t>
      </w:r>
      <w:r>
        <w:rPr>
          <w:b w:val="0"/>
          <w:i w:val="0"/>
        </w:rPr>
        <w:t>•</w:t>
      </w:r>
      <w:r>
        <w:rPr>
          <w:b w:val="0"/>
          <w:i w:val="0"/>
        </w:rPr>
        <w:t xml:space="preserve"> </w:t>
      </w:r>
      <w:r>
        <w:rPr>
          <w:b w:val="0"/>
          <w:i w:val="0"/>
        </w:rPr>
        <w:t xml:space="preserve">12 to &lt; 18 years: 8 patients </w:t>
      </w:r>
      <w:r>
        <w:rPr>
          <w:b w:val="0"/>
          <w:i w:val="0"/>
        </w:rPr>
        <w:t xml:space="preserve">Cohort 2 patients must be 12 to &lt; 18 years of age. </w:t>
      </w:r>
      <w:r>
        <w:rPr>
          <w:b/>
          <w:i w:val="0"/>
        </w:rPr>
        <w:t xml:space="preserve">Diagnosis and Main Criteria for Inclusion and Exclusion:  </w:t>
      </w:r>
      <w:r>
        <w:rPr>
          <w:b w:val="0"/>
          <w:i w:val="0"/>
        </w:rPr>
        <w:t xml:space="preserve">Patients must satisfy all inclusion and exclusion criteria, in order to have a confirmed diagnosis of aHUS and be </w:t>
      </w:r>
      <w:r>
        <w:rPr>
          <w:b w:val="0"/>
          <w:i w:val="0"/>
        </w:rPr>
        <w:t xml:space="preserve">eligible for the study. Patients who fail any of the eligibility criteria may be rescreened based on discussion and </w:t>
      </w:r>
      <w:r>
        <w:rPr>
          <w:b w:val="0"/>
          <w:i w:val="0"/>
        </w:rPr>
        <w:t xml:space="preserve">agreement between the Investigator and the Medical Monitor. Patients may be rescreened a maximum of 2 times.  </w:t>
      </w:r>
      <w:r>
        <w:rPr>
          <w:b w:val="0"/>
          <w:i w:val="0"/>
        </w:rPr>
        <w:t xml:space="preserve">For Cohort 1, samples collected at Screening may be tested at either a local or central laboratory. If a local </w:t>
      </w:r>
      <w:r>
        <w:rPr>
          <w:b w:val="0"/>
          <w:i w:val="0"/>
        </w:rPr>
        <w:t xml:space="preserve">laboratory is used to define eligibility, additional samples will be collected during the Screening Period for LDH, </w:t>
      </w:r>
      <w:r>
        <w:rPr>
          <w:b w:val="0"/>
          <w:i w:val="0"/>
        </w:rPr>
        <w:t xml:space="preserve">platelet count, hemoglobin and serum creatinine and tested at the central laboratory. All analyses in this study will </w:t>
      </w:r>
      <w:r>
        <w:rPr>
          <w:b w:val="0"/>
          <w:i w:val="0"/>
        </w:rPr>
        <w:t xml:space="preserve">be based on results from the central laboratory (unless the result is missing). If Cohort 1 patients are found not to </w:t>
      </w:r>
      <w:r>
        <w:rPr>
          <w:b w:val="0"/>
          <w:i w:val="0"/>
        </w:rPr>
        <w:t xml:space="preserve">satisfy the eligibility criteria for serum creatinine (Inclusion Criterion 2c) based on central laboratory results, they </w:t>
      </w:r>
      <w:r>
        <w:rPr>
          <w:b w:val="0"/>
          <w:i w:val="0"/>
        </w:rPr>
        <w:t xml:space="preserve">must not be enrolled into the study; if the subject has received the first dose of ALXN1210, the patient must be </w:t>
      </w:r>
      <w:r>
        <w:rPr>
          <w:b w:val="0"/>
          <w:i w:val="0"/>
        </w:rPr>
        <w:t xml:space="preserve">withdrawn from the study, and may be replaced. For Cohort 1 patients, laboratory results for Exclusion Criterion </w:t>
      </w:r>
      <w:r>
        <w:rPr>
          <w:b w:val="0"/>
          <w:i w:val="0"/>
        </w:rPr>
        <w:t xml:space="preserve">number 1 and/or Exclusion Criterion number 2 may not be available prior to first dose. Later results for Exclusion </w:t>
      </w:r>
      <w:r>
        <w:rPr>
          <w:b w:val="0"/>
          <w:i w:val="0"/>
        </w:rPr>
        <w:t>Criteri</w:t>
      </w:r>
      <w:r>
        <w:rPr>
          <w:b w:val="0"/>
          <w:i w:val="0"/>
        </w:rPr>
        <w:t xml:space="preserve">on number 1 and/or Exclusion Criterion number 2 could lead to discontinuation and replacement of the </w:t>
      </w:r>
      <w:r>
        <w:rPr>
          <w:b w:val="0"/>
          <w:i w:val="0"/>
        </w:rPr>
        <w:t xml:space="preserve">patient. </w:t>
      </w:r>
    </w:p>
    <w:p>
      <w:r>
        <w:rPr>
          <w:b w:val="0"/>
          <w:i w:val="0"/>
        </w:rPr>
        <w:t xml:space="preserve">For Cohort 2, samples collected at Screening must be tested at a central laboratory; however, historical test results </w:t>
      </w:r>
      <w:r>
        <w:rPr>
          <w:b w:val="0"/>
          <w:i w:val="0"/>
        </w:rPr>
        <w:t xml:space="preserve">via chart review should be utilized for Inclusion Criterion 3 and Exclusion Criteria 1, 2, 3, and 24. </w:t>
      </w:r>
    </w:p>
    <w:p>
      <w:r>
        <w:rPr>
          <w:b w:val="0"/>
          <w:i w:val="0"/>
        </w:rPr>
        <w:t xml:space="preserve">The following entry criteria are applicable for patients in both cohorts unless otherwise noted as specific for Cohort </w:t>
      </w:r>
      <w:r>
        <w:rPr>
          <w:b w:val="0"/>
          <w:i w:val="0"/>
        </w:rPr>
        <w:t xml:space="preserve">1 or Cohort 2:   </w:t>
      </w:r>
    </w:p>
    <w:p>
      <w:r>
        <w:rPr>
          <w:b/>
          <w:i w:val="0"/>
        </w:rPr>
        <w:t xml:space="preserve">Inclusion Criteria: </w:t>
      </w:r>
      <w:r>
        <w:rPr>
          <w:b w:val="0"/>
          <w:i w:val="0"/>
        </w:rPr>
        <w:t xml:space="preserve"> </w:t>
      </w:r>
    </w:p>
    <w:p>
      <w:pPr>
        <w:pStyle w:val="ListNumber"/>
      </w:pPr>
      <w:r>
        <w:t>Patients from birth up to &lt; 18 years of age and weighing ≥ 5 kg at the time of consent who: a. For Cohort 1 patients, have not been previously treated with complement inhibitors</w:t>
      </w:r>
    </w:p>
    <w:p>
      <w:r>
        <w:rPr>
          <w:b w:val="0"/>
          <w:i w:val="0"/>
        </w:rPr>
        <w:t>b.</w:t>
      </w:r>
      <w:r>
        <w:rPr>
          <w:b w:val="0"/>
          <w:i w:val="0"/>
        </w:rPr>
        <w:t xml:space="preserve"> </w:t>
      </w:r>
      <w:r>
        <w:rPr>
          <w:b w:val="0"/>
          <w:i w:val="0"/>
        </w:rPr>
        <w:t xml:space="preserve">For Cohort 2 patients, are between 12 and &lt;18 years of age </w:t>
      </w:r>
      <w:r>
        <w:rPr>
          <w:b/>
          <w:i w:val="0"/>
        </w:rPr>
        <w:t>and</w:t>
      </w:r>
      <w:r>
        <w:rPr>
          <w:b w:val="0"/>
          <w:i w:val="0"/>
        </w:rPr>
        <w:t xml:space="preserve"> have been treated with eculizumab </w:t>
      </w:r>
      <w:r>
        <w:rPr>
          <w:b w:val="0"/>
          <w:i w:val="0"/>
        </w:rPr>
        <w:t xml:space="preserve">according to the labelled dosing recommendation for aHUS for at least 90 days prior to Screening </w:t>
      </w:r>
    </w:p>
    <w:p>
      <w:pPr>
        <w:pStyle w:val="ListNumber"/>
      </w:pPr>
      <w:r>
        <w:t>For Cohort 1 patients, evidence of TMA, including thrombocytopenia, evidence of hemolysis, and kidney Alexion Pharmaceuticals, Inc. Amendment 6 (Global) 16 Jul 2019</w:t>
      </w:r>
    </w:p>
    <w:p>
      <w:r>
        <w:rPr>
          <w:b w:val="0"/>
          <w:i w:val="0"/>
        </w:rPr>
        <w:t xml:space="preserve">injury, based on the following laboratory findings: </w:t>
      </w:r>
      <w:r>
        <w:rPr>
          <w:b w:val="0"/>
          <w:i w:val="0"/>
        </w:rPr>
        <w:t>a.</w:t>
      </w:r>
      <w:r>
        <w:rPr>
          <w:b w:val="0"/>
          <w:i w:val="0"/>
        </w:rPr>
        <w:t xml:space="preserve"> </w:t>
      </w:r>
      <w:r>
        <w:rPr>
          <w:b w:val="0"/>
          <w:i w:val="0"/>
        </w:rPr>
        <w:t xml:space="preserve">Platelet count &lt; 150,000 per microliter (µL) during the Screening Period or within 28 days prior to </w:t>
      </w:r>
    </w:p>
    <w:p>
      <w:r>
        <w:rPr>
          <w:b w:val="0"/>
          <w:i w:val="0"/>
        </w:rPr>
        <w:t xml:space="preserve">the start of the Screening Period, </w:t>
      </w:r>
      <w:r>
        <w:rPr>
          <w:b/>
          <w:i w:val="0"/>
        </w:rPr>
        <w:t>and</w:t>
      </w:r>
      <w:r>
        <w:rPr>
          <w:b w:val="0"/>
          <w:i w:val="0"/>
        </w:rPr>
        <w:t xml:space="preserve"> </w:t>
      </w:r>
      <w:r>
        <w:rPr>
          <w:b w:val="0"/>
          <w:i w:val="0"/>
        </w:rPr>
        <w:t>b.</w:t>
      </w:r>
      <w:r>
        <w:rPr>
          <w:b w:val="0"/>
          <w:i w:val="0"/>
        </w:rPr>
        <w:t xml:space="preserve"> </w:t>
      </w:r>
      <w:r>
        <w:rPr>
          <w:b w:val="0"/>
          <w:i w:val="0"/>
        </w:rPr>
        <w:t>LDH ≥</w:t>
      </w:r>
      <w:r>
        <w:rPr>
          <w:b w:val="0"/>
          <w:i w:val="0"/>
        </w:rPr>
        <w:t xml:space="preserve"> 1.5 × upper limit of normal (ULN) during the Screening Period or within 28 days prior to the </w:t>
      </w:r>
      <w:r>
        <w:rPr>
          <w:b w:val="0"/>
          <w:i w:val="0"/>
        </w:rPr>
        <w:t>start of the Screening Period</w:t>
      </w:r>
      <w:r>
        <w:rPr>
          <w:b w:val="0"/>
          <w:i w:val="0"/>
        </w:rPr>
        <w:t>, and hemoglobin ≤ lower limit of normal (LLN) for age and gender</w:t>
      </w:r>
      <w:r>
        <w:rPr>
          <w:b w:val="0"/>
          <w:i w:val="0"/>
        </w:rPr>
        <w:t xml:space="preserve"> </w:t>
      </w:r>
      <w:r>
        <w:rPr>
          <w:b w:val="0"/>
          <w:i w:val="0"/>
        </w:rPr>
        <w:t xml:space="preserve">during the Screening Period or within 28 days prior to the start of the Screening Period, </w:t>
      </w:r>
      <w:r>
        <w:rPr>
          <w:b/>
          <w:i w:val="0"/>
        </w:rPr>
        <w:t>and</w:t>
      </w:r>
      <w:r>
        <w:rPr>
          <w:b w:val="0"/>
          <w:i w:val="0"/>
        </w:rPr>
        <w:t xml:space="preserve"> </w:t>
      </w:r>
      <w:r>
        <w:rPr>
          <w:b w:val="0"/>
          <w:i w:val="0"/>
        </w:rPr>
        <w:t>c.</w:t>
      </w:r>
      <w:r>
        <w:rPr>
          <w:b w:val="0"/>
          <w:i w:val="0"/>
        </w:rPr>
        <w:t xml:space="preserve"> </w:t>
      </w:r>
      <w:r>
        <w:rPr>
          <w:b w:val="0"/>
          <w:i w:val="0"/>
        </w:rPr>
        <w:t>Serum creatinine level ≥ 97.5</w:t>
      </w:r>
      <w:r>
        <w:rPr>
          <w:b w:val="0"/>
          <w:i w:val="0"/>
        </w:rPr>
        <w:t>th</w:t>
      </w:r>
      <w:r>
        <w:rPr>
          <w:b w:val="0"/>
          <w:i w:val="0"/>
        </w:rPr>
        <w:t xml:space="preserve"> percentile for age at Screening (patients who require dialysis for acute </w:t>
      </w:r>
      <w:r>
        <w:rPr>
          <w:b w:val="0"/>
          <w:i w:val="0"/>
        </w:rPr>
        <w:t xml:space="preserve">kidney injury are also eligible regardless of serum creatinine level). </w:t>
      </w:r>
    </w:p>
    <w:p>
      <w:pPr>
        <w:pStyle w:val="ListNumber"/>
      </w:pPr>
      <w:r>
        <w:t>For Cohort 2 patients, documented diagnosis of aHUS including: a. Increase in LDH &gt; ULN and creatinine &gt; ULN, and decrease in platelets &lt; LLN documented by local laboratories at the time of the TMA event</w:t>
      </w:r>
    </w:p>
    <w:p>
      <w:pPr>
        <w:pStyle w:val="ListNumber"/>
      </w:pPr>
      <w:r>
        <w:t>For Cohort 2 patients, clinical evidence of response to eculizumab indicated by stable TMA parameters (via central laboratory results) at Screening, including: a.</w:t>
      </w:r>
    </w:p>
    <w:p>
      <w:r>
        <w:rPr>
          <w:b w:val="0"/>
          <w:i w:val="0"/>
        </w:rPr>
        <w:t xml:space="preserve">LDH &lt; 1.5 X ULN, </w:t>
      </w:r>
      <w:r>
        <w:rPr>
          <w:b/>
          <w:i w:val="0"/>
        </w:rPr>
        <w:t>and</w:t>
      </w:r>
      <w:r>
        <w:rPr>
          <w:b w:val="0"/>
          <w:i w:val="0"/>
        </w:rPr>
        <w:t xml:space="preserve"> </w:t>
      </w:r>
      <w:r>
        <w:rPr>
          <w:b w:val="0"/>
          <w:i w:val="0"/>
        </w:rPr>
        <w:t>b.</w:t>
      </w:r>
      <w:r>
        <w:rPr>
          <w:b w:val="0"/>
          <w:i w:val="0"/>
        </w:rPr>
        <w:t xml:space="preserve"> </w:t>
      </w:r>
      <w:r>
        <w:rPr>
          <w:b w:val="0"/>
          <w:i w:val="0"/>
        </w:rPr>
        <w:t xml:space="preserve">Platelet count ≥ 150,000 /μL, </w:t>
      </w:r>
      <w:r>
        <w:rPr>
          <w:b/>
          <w:i w:val="0"/>
        </w:rPr>
        <w:t>and</w:t>
      </w:r>
      <w:r>
        <w:rPr>
          <w:b w:val="0"/>
          <w:i w:val="0"/>
        </w:rPr>
        <w:t xml:space="preserve"> </w:t>
      </w:r>
      <w:r>
        <w:rPr>
          <w:b w:val="0"/>
          <w:i w:val="0"/>
        </w:rPr>
        <w:t>c.</w:t>
      </w:r>
      <w:r>
        <w:rPr>
          <w:b w:val="0"/>
          <w:i w:val="0"/>
        </w:rPr>
        <w:t xml:space="preserve"> </w:t>
      </w:r>
      <w:r>
        <w:rPr>
          <w:b w:val="0"/>
          <w:i w:val="0"/>
        </w:rPr>
        <w:t>eGFR &gt; 30 mL/min/1.73m</w:t>
      </w:r>
      <w:r>
        <w:rPr>
          <w:b w:val="0"/>
          <w:i w:val="0"/>
        </w:rPr>
        <w:t>2</w:t>
      </w:r>
      <w:r>
        <w:rPr>
          <w:b w:val="0"/>
          <w:i w:val="0"/>
        </w:rPr>
        <w:t xml:space="preserve"> using the Schwartz formula </w:t>
      </w:r>
    </w:p>
    <w:p>
      <w:pPr>
        <w:pStyle w:val="ListNumber"/>
      </w:pPr>
      <w:r>
        <w:t>Among patients with a kidney transplant: a.</w:t>
      </w:r>
    </w:p>
    <w:p>
      <w:r>
        <w:rPr>
          <w:b w:val="0"/>
          <w:i w:val="0"/>
        </w:rPr>
        <w:t xml:space="preserve">Known history of aHUS prior to current kidney transplant, </w:t>
      </w:r>
      <w:r>
        <w:rPr>
          <w:b/>
          <w:i w:val="0"/>
        </w:rPr>
        <w:t>or</w:t>
      </w:r>
      <w:r>
        <w:rPr>
          <w:b w:val="0"/>
          <w:i w:val="0"/>
        </w:rPr>
        <w:t xml:space="preserve"> </w:t>
      </w:r>
      <w:r>
        <w:rPr>
          <w:b w:val="0"/>
          <w:i w:val="0"/>
        </w:rPr>
        <w:t>b.</w:t>
      </w:r>
      <w:r>
        <w:rPr>
          <w:b w:val="0"/>
          <w:i w:val="0"/>
        </w:rPr>
        <w:t xml:space="preserve"> </w:t>
      </w:r>
      <w:r>
        <w:rPr>
          <w:b w:val="0"/>
          <w:i w:val="0"/>
        </w:rPr>
        <w:t xml:space="preserve">No known history of aHUS, and persistent evidence of TMA at least 4 days after modifying the </w:t>
      </w:r>
      <w:r>
        <w:rPr>
          <w:b w:val="0"/>
          <w:i w:val="0"/>
        </w:rPr>
        <w:t xml:space="preserve">immunosuppressive regimen (eg, suspending or reducing the dose) of calcineurin inhibitor ([CNI]; </w:t>
      </w:r>
      <w:r>
        <w:rPr>
          <w:b w:val="0"/>
          <w:i w:val="0"/>
        </w:rPr>
        <w:t xml:space="preserve">eg, cyclosporine, tacrolimus) or mammalian target of rapamycin inhibitor ([mTORi]; eg, sirolimus, </w:t>
      </w:r>
      <w:r>
        <w:rPr>
          <w:b w:val="0"/>
          <w:i w:val="0"/>
        </w:rPr>
        <w:t xml:space="preserve">everolimus). </w:t>
      </w:r>
    </w:p>
    <w:p>
      <w:pPr>
        <w:pStyle w:val="ListNumber"/>
      </w:pPr>
      <w:r>
        <w:t>Among patients with onset of TMA postpartum, persistent evidence of TMA for &gt; 3 days after the day of childbirth.</w:t>
      </w:r>
    </w:p>
    <w:p>
      <w:pPr>
        <w:pStyle w:val="ListNumber"/>
      </w:pPr>
      <w:r>
        <w:t>To reduce the risk of meningococcal infection (Neisseria meningitidis), all patients must be vaccinated against meningococcal infections within 3 years prior to, or at the time of, initiating study drug. Patients who receive a meningococcal vaccine less than 2 weeks before initiating ALXN1210 treatment must receive treatment with appropriate prophylactic antibiotics until 2 weeks after vaccination. Patients who have not been vaccinated prior to initiating ALXN1210 treatment should receive prophylactic antibiotics prior to and for at least 2 weeks after meningococcal vaccination. Patients who cannot be vaccinated must receive antibiotic prophylaxis for the entire treatment period and for 8 months following last dose.</w:t>
      </w:r>
    </w:p>
    <w:p>
      <w:pPr>
        <w:pStyle w:val="ListNumber"/>
      </w:pPr>
      <w:r>
        <w:t>Patients must have been vaccinated against Haemophilus influenzae type b (Hib) and Streptococcus pneumoniae according to national and local vaccination schedule guidelines.</w:t>
      </w:r>
    </w:p>
    <w:p>
      <w:pPr>
        <w:pStyle w:val="ListNumber"/>
      </w:pPr>
      <w:r>
        <w:t>Female patients of childbearing potential and male patients with female partners of childbearing potential must follow protocol-specified guidance for avoiding pregnancy while on treatment and for 8 months after last dose of study drug.</w:t>
      </w:r>
    </w:p>
    <w:p>
      <w:pPr>
        <w:pStyle w:val="ListNumber"/>
      </w:pPr>
      <w:r>
        <w:t>Patient's legal guardian must be willing and able to give written informed consent and the patient must be willing to give written informed assent (if applicable as determined by the central or local Institutional Review Board [IRB]/Institutional (or Independent) Ethics Committee [IEC]) and comply with the study visit schedule.</w:t>
      </w:r>
    </w:p>
    <w:p>
      <w:r>
        <w:rPr>
          <w:b/>
          <w:i w:val="0"/>
        </w:rPr>
        <w:t xml:space="preserve">Exclusion Criteria: </w:t>
      </w:r>
    </w:p>
    <w:p>
      <w:pPr>
        <w:pStyle w:val="ListNumber"/>
      </w:pPr>
      <w:r>
        <w:t>Known familial or acquired ‘a disintegrin and metalloproteinase with a thrombospondin type 1 motif, member 13’ (ADAMTS13) deficiency (activity &lt; 5%).</w:t>
      </w:r>
    </w:p>
    <w:p>
      <w:pPr>
        <w:pStyle w:val="ListNumber"/>
      </w:pPr>
      <w:r>
        <w:t>Known Shiga toxin-related hemolytic uremic syndrome (ST-HUS) as demonstrated by a positive test for Shiga toxin or culture of Shiga toxin producing bacteria.</w:t>
      </w:r>
    </w:p>
    <w:p>
      <w:pPr>
        <w:pStyle w:val="ListNumber"/>
      </w:pPr>
      <w:r>
        <w:t>Positive direct Coombs test.</w:t>
      </w:r>
    </w:p>
    <w:p>
      <w:pPr>
        <w:pStyle w:val="ListNumber"/>
      </w:pPr>
      <w:r>
        <w:t>Known Human Immunodeficiency Virus (HIV) infection.</w:t>
      </w:r>
    </w:p>
    <w:p>
      <w:pPr>
        <w:pStyle w:val="ListNumber"/>
      </w:pPr>
      <w:r>
        <w:t>Unresolved meningococcal disease.</w:t>
      </w:r>
    </w:p>
    <w:p>
      <w:r>
        <w:rPr>
          <w:b w:val="0"/>
          <w:i w:val="0"/>
        </w:rPr>
        <w:t xml:space="preserve">Alexion Pharmaceuticals, Inc. </w:t>
      </w:r>
      <w:r>
        <w:rPr>
          <w:b w:val="0"/>
          <w:i w:val="0"/>
        </w:rPr>
        <w:t>Amendment 6 (Global) 16 Jul 2019</w:t>
      </w:r>
      <w:r>
        <w:rPr>
          <w:b w:val="0"/>
          <w:i w:val="0"/>
        </w:rPr>
        <w:t xml:space="preserve"> </w:t>
      </w:r>
    </w:p>
    <w:p>
      <w:pPr>
        <w:pStyle w:val="ListNumber"/>
      </w:pPr>
      <w:r>
        <w:t>Patients with a confirmed diagnosis of ongoing sepsis defined as positive blood cultures within 7 days prior to the start of Screening and untreated with antibiotics.</w:t>
      </w:r>
    </w:p>
    <w:p>
      <w:pPr>
        <w:pStyle w:val="ListNumber"/>
      </w:pPr>
      <w:r>
        <w:t>Presence or suspicion of active and untreated systemic bacterial infection that, in the opinion of the Investigator, confounds an accurate diagnosis of aHUS or impedes the ability to manage the aHUS disease.</w:t>
      </w:r>
    </w:p>
    <w:p>
      <w:pPr>
        <w:pStyle w:val="ListNumber"/>
      </w:pPr>
      <w:r>
        <w:t>Females who plan to become pregnant during the study or are currently pregnant or breastfeeding.</w:t>
      </w:r>
    </w:p>
    <w:p>
      <w:pPr>
        <w:pStyle w:val="ListNumber"/>
      </w:pPr>
      <w:r>
        <w:t>Heart, lung, small bowel, pancreas, or liver transplant.</w:t>
      </w:r>
    </w:p>
    <w:p>
      <w:pPr>
        <w:pStyle w:val="ListNumber"/>
      </w:pPr>
      <w:r>
        <w:t>Among patients with a kidney transplant, acute kidney dysfunction within 4 weeks of transplant consistent with the diagnosis of acute antibody-mediated rejection (AMR) according to Banff 2013 criteria.</w:t>
      </w:r>
    </w:p>
    <w:p>
      <w:pPr>
        <w:pStyle w:val="ListNumber"/>
      </w:pPr>
      <w:r>
        <w:t>Among patients without a kidney transplant, history of kidney disease other than aHUS, such as: a. Known kidney biopsy finding suggestive of underlying disease other than aHUS b. Known kidney ultrasound finding consistent with an alternative diagnosis to aHUS (eg small kidneys for age) c. Known family history and/or genetic diagnosis of noncomplement mediated genetic renal disease (eg, focal segmental glomerulosclerosis)</w:t>
      </w:r>
    </w:p>
    <w:p>
      <w:pPr>
        <w:pStyle w:val="ListNumber"/>
      </w:pPr>
      <w:r>
        <w:t>Identified drug exposure-related HUS.</w:t>
      </w:r>
    </w:p>
    <w:p>
      <w:pPr>
        <w:pStyle w:val="ListNumber"/>
      </w:pPr>
      <w:r>
        <w:t>For Cohort 1 patients, r eceiving plasma exchange/plasma infusion (PE/PI), for 28 days or longer, prior to the start of Screening for the current TMA.</w:t>
      </w:r>
    </w:p>
    <w:p>
      <w:pPr>
        <w:pStyle w:val="ListNumber"/>
      </w:pPr>
      <w:r>
        <w:t>History of malignancy within 5 years of Screening with the exception of a non-melanoma skin cancer or carcinoma in situ of the cervix that has been treated with no evidence of recurrence.</w:t>
      </w:r>
    </w:p>
    <w:p>
      <w:pPr>
        <w:pStyle w:val="ListNumber"/>
      </w:pPr>
      <w:r>
        <w:t>Bone marrow transplant (BMT)/hematopoietic stem c ell transplant (HSCT) within the last 6 months prior to the start of Screening.</w:t>
      </w:r>
    </w:p>
    <w:p>
      <w:pPr>
        <w:pStyle w:val="ListNumber"/>
      </w:pPr>
      <w:r>
        <w:t>HUS related known genetic defects of cobalamin C metabolism.</w:t>
      </w:r>
    </w:p>
    <w:p>
      <w:pPr>
        <w:pStyle w:val="ListNumber"/>
      </w:pPr>
      <w:r>
        <w:t>Known systemic sclerosis (scleroderma), systemic lupus erythematosus (SLE), or antiphospholipid antibody positivity or syndrome.</w:t>
      </w:r>
    </w:p>
    <w:p>
      <w:pPr>
        <w:pStyle w:val="ListNumber"/>
      </w:pPr>
      <w:r>
        <w:t>Chronic dialysis (defined as dialysis on a regular basis as renal replacement therapy for end-stage kidney disease [ESKD]).</w:t>
      </w:r>
    </w:p>
    <w:p>
      <w:pPr>
        <w:pStyle w:val="ListNumber"/>
      </w:pPr>
      <w:r>
        <w:t>Patients receiving chronic intravenous immunoglobulin (IVIg) within 8 weeks prior to the start of Screening, unless for unrelated medical condition (eg, hypogammaglobinemia); or chronic rituximab therapy within 12 weeks prior to the start of Screening.</w:t>
      </w:r>
    </w:p>
    <w:p>
      <w:pPr>
        <w:pStyle w:val="ListNumber"/>
      </w:pPr>
      <w:r>
        <w:t>Patients receiving other immunosuppressive therapies such as steroids, mTORi (eg, sirolimus, everolimus), CNI (eg, cyclosporine or tacrolimus) are excluded unless: a. part of an established post-transplant antirejection regimen, or b. patient has confirmed anti-complement factor antibodies requiring immunosuppressive therapy, or c. steroids are being used for a condition other than aHUS (eg, asthma).</w:t>
      </w:r>
    </w:p>
    <w:p>
      <w:pPr>
        <w:pStyle w:val="ListNumber"/>
      </w:pPr>
      <w:r>
        <w:t>Participation in another interventional treatment study or use of any experimental therapy within 30 days before initiation of study drug on Day 1 in this study or within 5 half-lives of that investigational product, whichever is greater.</w:t>
      </w:r>
    </w:p>
    <w:p>
      <w:pPr>
        <w:pStyle w:val="ListNumber"/>
      </w:pPr>
      <w:r>
        <w:t>For Cohort 1 patients, prior use of any complement inhibitors</w:t>
      </w:r>
    </w:p>
    <w:p>
      <w:pPr>
        <w:pStyle w:val="ListNumber"/>
      </w:pPr>
      <w:r>
        <w:t>For Cohort 2 patients, prior use of complement inhibitors other than eculizumab.</w:t>
      </w:r>
    </w:p>
    <w:p>
      <w:pPr>
        <w:pStyle w:val="ListNumber"/>
      </w:pPr>
      <w:r>
        <w:t>For Cohort 2 patients, any known abnormal TMA parameters within 90 days prior to Screening (ie, LDH ≥ 1.5 X ULN, or platelet count &lt; 150,000/μL, or eGFR ≤ 30 mL/min/1.73m2 using the Schwartz formula).</w:t>
      </w:r>
    </w:p>
    <w:p>
      <w:pPr>
        <w:pStyle w:val="ListNumber"/>
      </w:pPr>
      <w:r>
        <w:t>Hypersensitivity to any ingredient contained in the study drug, including hypersensitivity to murine proteins.</w:t>
      </w:r>
    </w:p>
    <w:p>
      <w:pPr>
        <w:pStyle w:val="ListNumber"/>
      </w:pPr>
      <w:r>
        <w:t>Any medical or psychological condition that, in the opinion of the Investigator or Sponsor, could increase the risk to the patient by participating in the study or confound the outcome of the study.</w:t>
      </w:r>
    </w:p>
    <w:p>
      <w:pPr>
        <w:pStyle w:val="ListNumber"/>
      </w:pPr>
      <w:r>
        <w:t>Known or suspected history of drug or alcohol abuse or dependence within 1 year prior to the start of Alexion Pharmaceuticals, Inc. Amendment 6 (Global) 16 Jul 2019</w:t>
      </w:r>
    </w:p>
    <w:p>
      <w:r>
        <w:rPr>
          <w:b w:val="0"/>
          <w:i w:val="0"/>
        </w:rPr>
        <w:t xml:space="preserve">Screening. </w:t>
      </w:r>
    </w:p>
    <w:p>
      <w:pPr>
        <w:pStyle w:val="ListNumber"/>
      </w:pPr>
      <w:r>
        <w:t>Use of tranexamic acid within 7 days prior to Screening is prohibited.</w:t>
      </w:r>
    </w:p>
    <w:p>
      <w:r>
        <w:rPr>
          <w:b/>
          <w:i w:val="0"/>
        </w:rPr>
        <w:t xml:space="preserve">Investigational Product, Dosage, and Mode of Administration:  </w:t>
      </w:r>
      <w:r>
        <w:rPr>
          <w:b w:val="0"/>
          <w:i w:val="0"/>
        </w:rPr>
        <w:t xml:space="preserve">For Cohort 1 and Cohort 2, ALXN1210 loading doses on Day 1 and maintenance doses on Day 15 and q8w </w:t>
      </w:r>
      <w:r>
        <w:rPr>
          <w:b w:val="0"/>
          <w:i w:val="0"/>
        </w:rPr>
        <w:t xml:space="preserve">thereafter for patients weighing </w:t>
      </w:r>
      <w:r>
        <w:rPr>
          <w:b w:val="0"/>
          <w:i w:val="0"/>
        </w:rPr>
        <w:t>≥</w:t>
      </w:r>
      <w:r>
        <w:rPr>
          <w:b w:val="0"/>
          <w:i w:val="0"/>
        </w:rPr>
        <w:t xml:space="preserve"> 20 kg, or q4w for patients weighing &lt; 20 kg will be administered by IV infusion. </w:t>
      </w:r>
      <w:r>
        <w:rPr>
          <w:b w:val="0"/>
          <w:i w:val="0"/>
        </w:rPr>
        <w:t xml:space="preserve">Dosages are based on the patient’s body weight recorded on Dose Regimen Decision Days (if the Dose Regimen </w:t>
      </w:r>
      <w:r>
        <w:rPr>
          <w:b w:val="0"/>
          <w:i w:val="0"/>
        </w:rPr>
        <w:t xml:space="preserve">Day is a dosing day, body weight will be recorded predose), as shown in the table below: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Body Weight</w:t>
              <w:br/>
              <w:t>Range (kg)a</w:t>
            </w:r>
          </w:p>
        </w:tc>
        <w:tc>
          <w:tcPr>
            <w:tcW w:type="dxa" w:w="2160"/>
          </w:tcPr>
          <w:p>
            <w:r>
              <w:t>Loading Dose (mg)</w:t>
            </w:r>
          </w:p>
        </w:tc>
        <w:tc>
          <w:tcPr>
            <w:tcW w:type="dxa" w:w="2160"/>
          </w:tcPr>
          <w:p>
            <w:r>
              <w:t>Maintenance Doses (mg)</w:t>
            </w:r>
          </w:p>
        </w:tc>
        <w:tc>
          <w:tcPr>
            <w:tcW w:type="dxa" w:w="2160"/>
          </w:tcPr>
          <w:p>
            <w:r>
              <w:t>Maintenance Dosing Frequency</w:t>
            </w:r>
          </w:p>
        </w:tc>
      </w:tr>
      <w:tr>
        <w:tc>
          <w:tcPr>
            <w:tcW w:type="dxa" w:w="2160"/>
          </w:tcPr>
          <w:p>
            <w:r>
              <w:t>≥ 5 to &lt; 10</w:t>
            </w:r>
          </w:p>
        </w:tc>
        <w:tc>
          <w:tcPr>
            <w:tcW w:type="dxa" w:w="2160"/>
          </w:tcPr>
          <w:p>
            <w:r>
              <w:t>600</w:t>
            </w:r>
          </w:p>
        </w:tc>
        <w:tc>
          <w:tcPr>
            <w:tcW w:type="dxa" w:w="2160"/>
          </w:tcPr>
          <w:p>
            <w:r>
              <w:t>300</w:t>
            </w:r>
          </w:p>
        </w:tc>
        <w:tc>
          <w:tcPr>
            <w:tcW w:type="dxa" w:w="2160"/>
          </w:tcPr>
          <w:p>
            <w:r>
              <w:t>q4w</w:t>
            </w:r>
          </w:p>
        </w:tc>
      </w:tr>
      <w:tr>
        <w:tc>
          <w:tcPr>
            <w:tcW w:type="dxa" w:w="2160"/>
          </w:tcPr>
          <w:p>
            <w:r>
              <w:t>≥ 10 to &lt; 20</w:t>
            </w:r>
          </w:p>
        </w:tc>
        <w:tc>
          <w:tcPr>
            <w:tcW w:type="dxa" w:w="2160"/>
          </w:tcPr>
          <w:p>
            <w:r>
              <w:t>600</w:t>
            </w:r>
          </w:p>
        </w:tc>
        <w:tc>
          <w:tcPr>
            <w:tcW w:type="dxa" w:w="2160"/>
          </w:tcPr>
          <w:p>
            <w:r>
              <w:t>600</w:t>
            </w:r>
          </w:p>
        </w:tc>
        <w:tc>
          <w:tcPr>
            <w:tcW w:type="dxa" w:w="2160"/>
          </w:tcPr>
          <w:p>
            <w:r>
              <w:t>q4w</w:t>
            </w:r>
          </w:p>
        </w:tc>
      </w:tr>
      <w:tr>
        <w:tc>
          <w:tcPr>
            <w:tcW w:type="dxa" w:w="2160"/>
          </w:tcPr>
          <w:p>
            <w:r>
              <w:t>≥ 20 to &lt; 30</w:t>
            </w:r>
          </w:p>
        </w:tc>
        <w:tc>
          <w:tcPr>
            <w:tcW w:type="dxa" w:w="2160"/>
          </w:tcPr>
          <w:p>
            <w:r>
              <w:t>900</w:t>
            </w:r>
          </w:p>
        </w:tc>
        <w:tc>
          <w:tcPr>
            <w:tcW w:type="dxa" w:w="2160"/>
          </w:tcPr>
          <w:p>
            <w:r>
              <w:t>2100</w:t>
            </w:r>
          </w:p>
        </w:tc>
        <w:tc>
          <w:tcPr>
            <w:tcW w:type="dxa" w:w="2160"/>
          </w:tcPr>
          <w:p>
            <w:r>
              <w:t>q8w</w:t>
            </w:r>
          </w:p>
        </w:tc>
      </w:tr>
      <w:tr>
        <w:tc>
          <w:tcPr>
            <w:tcW w:type="dxa" w:w="2160"/>
          </w:tcPr>
          <w:p>
            <w:r>
              <w:t>≥ 30 to &lt; 40</w:t>
            </w:r>
          </w:p>
        </w:tc>
        <w:tc>
          <w:tcPr>
            <w:tcW w:type="dxa" w:w="2160"/>
          </w:tcPr>
          <w:p>
            <w:r>
              <w:t>1200</w:t>
            </w:r>
          </w:p>
        </w:tc>
        <w:tc>
          <w:tcPr>
            <w:tcW w:type="dxa" w:w="2160"/>
          </w:tcPr>
          <w:p>
            <w:r>
              <w:t>2700</w:t>
            </w:r>
          </w:p>
        </w:tc>
        <w:tc>
          <w:tcPr>
            <w:tcW w:type="dxa" w:w="2160"/>
          </w:tcPr>
          <w:p>
            <w:r>
              <w:t>q8w</w:t>
            </w:r>
          </w:p>
        </w:tc>
      </w:tr>
      <w:tr>
        <w:tc>
          <w:tcPr>
            <w:tcW w:type="dxa" w:w="2160"/>
          </w:tcPr>
          <w:p>
            <w:r>
              <w:t>≥ 40 to &lt; 60</w:t>
            </w:r>
          </w:p>
        </w:tc>
        <w:tc>
          <w:tcPr>
            <w:tcW w:type="dxa" w:w="2160"/>
          </w:tcPr>
          <w:p>
            <w:r>
              <w:t>2400</w:t>
            </w:r>
          </w:p>
        </w:tc>
        <w:tc>
          <w:tcPr>
            <w:tcW w:type="dxa" w:w="2160"/>
          </w:tcPr>
          <w:p>
            <w:r>
              <w:t>3000</w:t>
            </w:r>
          </w:p>
        </w:tc>
        <w:tc>
          <w:tcPr>
            <w:tcW w:type="dxa" w:w="2160"/>
          </w:tcPr>
          <w:p>
            <w:r>
              <w:t>q8w</w:t>
            </w:r>
          </w:p>
        </w:tc>
      </w:tr>
      <w:tr>
        <w:tc>
          <w:tcPr>
            <w:tcW w:type="dxa" w:w="2160"/>
          </w:tcPr>
          <w:p>
            <w:r>
              <w:t>≥ 60 to &lt; 100</w:t>
            </w:r>
          </w:p>
        </w:tc>
        <w:tc>
          <w:tcPr>
            <w:tcW w:type="dxa" w:w="2160"/>
          </w:tcPr>
          <w:p>
            <w:r>
              <w:t>2700</w:t>
            </w:r>
          </w:p>
        </w:tc>
        <w:tc>
          <w:tcPr>
            <w:tcW w:type="dxa" w:w="2160"/>
          </w:tcPr>
          <w:p>
            <w:r>
              <w:t>3300</w:t>
            </w:r>
          </w:p>
        </w:tc>
        <w:tc>
          <w:tcPr>
            <w:tcW w:type="dxa" w:w="2160"/>
          </w:tcPr>
          <w:p>
            <w:r>
              <w:t>q8w</w:t>
            </w:r>
          </w:p>
        </w:tc>
      </w:tr>
      <w:tr>
        <w:tc>
          <w:tcPr>
            <w:tcW w:type="dxa" w:w="2160"/>
          </w:tcPr>
          <w:p>
            <w:r>
              <w:t>≥ 100</w:t>
            </w:r>
          </w:p>
        </w:tc>
        <w:tc>
          <w:tcPr>
            <w:tcW w:type="dxa" w:w="2160"/>
          </w:tcPr>
          <w:p>
            <w:r>
              <w:t>3000</w:t>
            </w:r>
          </w:p>
        </w:tc>
        <w:tc>
          <w:tcPr>
            <w:tcW w:type="dxa" w:w="2160"/>
          </w:tcPr>
          <w:p>
            <w:r>
              <w:t>3600</w:t>
            </w:r>
          </w:p>
        </w:tc>
        <w:tc>
          <w:tcPr>
            <w:tcW w:type="dxa" w:w="2160"/>
          </w:tcPr>
          <w:p>
            <w:r>
              <w:t>q8w</w:t>
            </w:r>
          </w:p>
        </w:tc>
      </w:tr>
    </w:tbl>
    <w:p>
      <w:r>
        <w:rPr>
          <w:b/>
          <w:i w:val="0"/>
        </w:rPr>
        <w:t xml:space="preserve">Body Weight </w:t>
      </w:r>
      <w:r>
        <w:rPr>
          <w:b/>
          <w:i w:val="0"/>
        </w:rPr>
        <w:t xml:space="preserve">Loading Dose (mg) </w:t>
      </w:r>
      <w:r>
        <w:rPr>
          <w:b/>
          <w:i w:val="0"/>
        </w:rPr>
        <w:t xml:space="preserve">Maintenance Doses (mg) </w:t>
      </w:r>
      <w:r>
        <w:rPr>
          <w:b/>
          <w:i w:val="0"/>
        </w:rPr>
        <w:t xml:space="preserve">Maintenance Dosing Frequency  </w:t>
      </w:r>
      <w:r>
        <w:rPr>
          <w:b/>
          <w:i w:val="0"/>
        </w:rPr>
        <w:t>Range (kg)</w:t>
      </w:r>
      <w:r>
        <w:rPr>
          <w:b/>
          <w:i w:val="0"/>
        </w:rPr>
        <w:t>a</w:t>
      </w:r>
      <w:r>
        <w:rPr>
          <w:b/>
          <w:i w:val="0"/>
        </w:rPr>
        <w:t xml:space="preserve"> </w:t>
      </w:r>
      <w:r>
        <w:rPr>
          <w:b w:val="0"/>
          <w:i w:val="0"/>
        </w:rPr>
        <w:t>≥ 5 to &lt;</w:t>
      </w:r>
      <w:r>
        <w:rPr>
          <w:b w:val="0"/>
          <w:i w:val="0"/>
        </w:rPr>
        <w:t xml:space="preserve"> 10 </w:t>
      </w:r>
      <w:r>
        <w:rPr>
          <w:b w:val="0"/>
          <w:i w:val="0"/>
        </w:rPr>
        <w:t xml:space="preserve">q4w </w:t>
      </w:r>
      <w:r>
        <w:rPr>
          <w:b w:val="0"/>
          <w:i w:val="0"/>
        </w:rPr>
        <w:t>≥ 10 to &lt;</w:t>
      </w:r>
      <w:r>
        <w:rPr>
          <w:b w:val="0"/>
          <w:i w:val="0"/>
        </w:rPr>
        <w:t xml:space="preserve"> 20 </w:t>
      </w:r>
      <w:r>
        <w:rPr>
          <w:b w:val="0"/>
          <w:i w:val="0"/>
        </w:rPr>
        <w:t xml:space="preserve">q4w </w:t>
      </w:r>
      <w:r>
        <w:rPr>
          <w:b w:val="0"/>
          <w:i w:val="0"/>
        </w:rPr>
        <w:t>≥ 20 to &lt;</w:t>
      </w:r>
      <w:r>
        <w:rPr>
          <w:b w:val="0"/>
          <w:i w:val="0"/>
        </w:rPr>
        <w:t xml:space="preserve"> 30 </w:t>
      </w:r>
      <w:r>
        <w:rPr>
          <w:b w:val="0"/>
          <w:i w:val="0"/>
        </w:rPr>
        <w:t xml:space="preserve">q8w </w:t>
      </w:r>
      <w:r>
        <w:rPr>
          <w:b w:val="0"/>
          <w:i w:val="0"/>
        </w:rPr>
        <w:t>≥ 30 to &lt; 40</w:t>
      </w:r>
      <w:r>
        <w:rPr>
          <w:b w:val="0"/>
          <w:i w:val="0"/>
        </w:rPr>
        <w:t xml:space="preserve"> </w:t>
      </w:r>
      <w:r>
        <w:rPr>
          <w:b w:val="0"/>
          <w:i w:val="0"/>
        </w:rPr>
        <w:t xml:space="preserve">q8w </w:t>
      </w:r>
      <w:r>
        <w:rPr>
          <w:b w:val="0"/>
          <w:i w:val="0"/>
        </w:rPr>
        <w:t>≥ 40 to &lt; 60</w:t>
      </w:r>
      <w:r>
        <w:rPr>
          <w:b w:val="0"/>
          <w:i w:val="0"/>
        </w:rPr>
        <w:t xml:space="preserve"> </w:t>
      </w:r>
      <w:r>
        <w:rPr>
          <w:b w:val="0"/>
          <w:i w:val="0"/>
        </w:rPr>
        <w:t xml:space="preserve">q8w </w:t>
      </w:r>
      <w:r>
        <w:rPr>
          <w:b w:val="0"/>
          <w:i w:val="0"/>
        </w:rPr>
        <w:t>≥ 60 to &lt; 100</w:t>
      </w:r>
      <w:r>
        <w:rPr>
          <w:b w:val="0"/>
          <w:i w:val="0"/>
        </w:rPr>
        <w:t xml:space="preserve"> </w:t>
      </w:r>
      <w:r>
        <w:rPr>
          <w:b w:val="0"/>
          <w:i w:val="0"/>
        </w:rPr>
        <w:t xml:space="preserve">q8w </w:t>
      </w:r>
      <w:r>
        <w:rPr>
          <w:b w:val="0"/>
          <w:i w:val="0"/>
        </w:rPr>
        <w:t>≥ 100</w:t>
      </w:r>
      <w:r>
        <w:rPr>
          <w:b w:val="0"/>
          <w:i w:val="0"/>
        </w:rPr>
        <w:t xml:space="preserve"> </w:t>
      </w:r>
      <w:r>
        <w:rPr>
          <w:b w:val="0"/>
          <w:i w:val="0"/>
        </w:rPr>
        <w:t xml:space="preserve">q8w </w:t>
      </w:r>
      <w:r>
        <w:rPr>
          <w:b w:val="0"/>
          <w:i w:val="0"/>
        </w:rPr>
        <w:t>Abbreviations: q4w = once every 4 weeks; q8w = once every 8 weeks</w:t>
      </w:r>
      <w:r>
        <w:rPr>
          <w:b w:val="0"/>
          <w:i w:val="0"/>
        </w:rPr>
        <w:t xml:space="preserve">  </w:t>
      </w:r>
      <w:r>
        <w:rPr>
          <w:b w:val="0"/>
          <w:i w:val="0"/>
        </w:rPr>
        <w:t>a</w:t>
      </w:r>
      <w:r>
        <w:rPr>
          <w:b w:val="0"/>
          <w:i w:val="0"/>
        </w:rPr>
        <w:t xml:space="preserve"> Body weight as recorded on Dose Regimen Decision Days. If the Dose Regimen Day is also dosing day, body </w:t>
      </w:r>
      <w:r>
        <w:rPr>
          <w:b w:val="0"/>
          <w:i w:val="0"/>
        </w:rPr>
        <w:t xml:space="preserve">weight will be recorded predose with dosing that day based on the previous Dose Regimen Day body weight. </w:t>
      </w:r>
    </w:p>
    <w:p>
      <w:r>
        <w:rPr>
          <w:b w:val="0"/>
          <w:i w:val="0"/>
        </w:rPr>
        <w:t xml:space="preserve">During the Initial Evaluation Period, changes to dose regimen (dose level [ie, mg] or dose frequency [ie, q4w vs </w:t>
      </w:r>
      <w:r>
        <w:rPr>
          <w:b w:val="0"/>
          <w:i w:val="0"/>
        </w:rPr>
        <w:t xml:space="preserve">q8w]) will be based on the patient’s body weight on the “Dose Regimen Decision Day (patients on q4w or q8w </w:t>
      </w:r>
      <w:r>
        <w:rPr>
          <w:b w:val="0"/>
          <w:i w:val="0"/>
        </w:rPr>
        <w:t>schedules)”</w:t>
      </w:r>
      <w:r>
        <w:rPr>
          <w:b w:val="0"/>
          <w:i/>
        </w:rPr>
        <w:t xml:space="preserve"> </w:t>
      </w:r>
      <w:r>
        <w:rPr>
          <w:b w:val="0"/>
          <w:i w:val="0"/>
        </w:rPr>
        <w:t xml:space="preserve">preceding the day of administration. Patients changing from q4w to q8w will be administered their first </w:t>
      </w:r>
      <w:r>
        <w:rPr>
          <w:b w:val="0"/>
          <w:i w:val="0"/>
        </w:rPr>
        <w:t xml:space="preserve">q8w dose on the ALXN1210 administration day (“ALXN1210 administration [patients weighing &gt; 20 kg]”) </w:t>
      </w:r>
      <w:r>
        <w:rPr>
          <w:b w:val="0"/>
          <w:i w:val="0"/>
        </w:rPr>
        <w:t xml:space="preserve">following the “Dose Regimen Decision Day (patients on q4w or q8w schedules)”. Patients changing from q8w to </w:t>
      </w:r>
      <w:r>
        <w:rPr>
          <w:b w:val="0"/>
          <w:i w:val="0"/>
        </w:rPr>
        <w:t xml:space="preserve">q4w will be administered their first q4w dose on the ALXN1210 administration day (“ALXN1210 administration </w:t>
      </w:r>
      <w:r>
        <w:rPr>
          <w:b w:val="0"/>
          <w:i w:val="0"/>
        </w:rPr>
        <w:t xml:space="preserve">[patients weighing &lt; 20 kg]”) following the “Dose Regimen Decision Day (patients on q4w or q8w schedules)”. </w:t>
      </w:r>
    </w:p>
    <w:p>
      <w:r>
        <w:rPr>
          <w:b w:val="0"/>
          <w:i w:val="0"/>
        </w:rPr>
        <w:t xml:space="preserve">During the Extension Period, the dose of ALXN1210 is based on the patient’s body weight on the preceding “Dose </w:t>
      </w:r>
      <w:r>
        <w:rPr>
          <w:b w:val="0"/>
          <w:i w:val="0"/>
        </w:rPr>
        <w:t xml:space="preserve">Regimen Decision Day (patients on q4w schedule)” or “Dose Regimen Decision Day (patients on q8w schedule)”. </w:t>
      </w:r>
      <w:r>
        <w:rPr>
          <w:b w:val="0"/>
          <w:i w:val="0"/>
        </w:rPr>
        <w:t xml:space="preserve">Patients changing from q4w to q8w will be administered their first q8w dose on the ALXN1210 administration day </w:t>
      </w:r>
      <w:r>
        <w:rPr>
          <w:b w:val="0"/>
          <w:i w:val="0"/>
        </w:rPr>
        <w:t xml:space="preserve">(“ALXN1210 administration [patients weighing &gt; 20 kg]”) following the “Dose Regimen Decision Day (patients </w:t>
      </w:r>
      <w:r>
        <w:rPr>
          <w:b w:val="0"/>
          <w:i w:val="0"/>
        </w:rPr>
        <w:t xml:space="preserve">on q4w schedule)”. Patients changing from q8w to q4w will be administered their first q4w dose on the </w:t>
      </w:r>
      <w:r>
        <w:rPr>
          <w:b w:val="0"/>
          <w:i w:val="0"/>
        </w:rPr>
        <w:t xml:space="preserve">ALXN1210 administration day (“ALXN1210 administration [patients weighing &lt; 20 kg]”) 8 weeks after the “Dose </w:t>
      </w:r>
      <w:r>
        <w:rPr>
          <w:b w:val="0"/>
          <w:i w:val="0"/>
        </w:rPr>
        <w:t xml:space="preserve">Regimen Decision Day (patients on q8w schedule)”.  </w:t>
      </w:r>
    </w:p>
    <w:p>
      <w:r>
        <w:rPr>
          <w:b/>
          <w:i w:val="0"/>
        </w:rPr>
        <w:t xml:space="preserve">Planned Duration of Treatment: </w:t>
      </w:r>
      <w:r>
        <w:rPr>
          <w:b w:val="0"/>
          <w:i w:val="0"/>
        </w:rPr>
        <w:t xml:space="preserve">26-week Initial Evaluation Period followed by an Extension Period until the </w:t>
      </w:r>
      <w:r>
        <w:rPr>
          <w:b w:val="0"/>
          <w:i w:val="0"/>
        </w:rPr>
        <w:t xml:space="preserve">product is registered or approved (in accordance with country-specific regulations) or for up to 4.5 years, </w:t>
      </w:r>
      <w:r>
        <w:rPr>
          <w:b w:val="0"/>
          <w:i w:val="0"/>
        </w:rPr>
        <w:t xml:space="preserve">whichever occurs first. </w:t>
      </w:r>
      <w:r>
        <w:rPr>
          <w:b/>
          <w:i w:val="0"/>
        </w:rPr>
        <w:t xml:space="preserve">Reference Therapy, Dosage, and Mode of Administration: </w:t>
      </w:r>
      <w:r>
        <w:rPr>
          <w:b w:val="0"/>
          <w:i w:val="0"/>
        </w:rPr>
        <w:t>Not applicable</w:t>
      </w:r>
      <w:r>
        <w:rPr>
          <w:b/>
          <w:i w:val="0"/>
        </w:rPr>
        <w:t xml:space="preserve"> </w:t>
      </w:r>
      <w:r>
        <w:rPr>
          <w:b/>
          <w:i w:val="0"/>
        </w:rPr>
        <w:t xml:space="preserve">Endpoints:  </w:t>
      </w:r>
      <w:r>
        <w:rPr>
          <w:b w:val="0"/>
          <w:i w:val="0"/>
        </w:rPr>
        <w:t xml:space="preserve">Efficacy Assessments  </w:t>
      </w:r>
      <w:r>
        <w:rPr>
          <w:b w:val="0"/>
          <w:i w:val="0"/>
        </w:rPr>
        <w:t xml:space="preserve">As patients previously treated with eculizumab have stabilized TMA parameters at study entry, Cohort 2 patients </w:t>
      </w:r>
      <w:r>
        <w:rPr>
          <w:b w:val="0"/>
          <w:i w:val="0"/>
        </w:rPr>
        <w:t xml:space="preserve">will be excluded from the following efficacy assessments: Complete TMA Response, Time to Complete TMA </w:t>
      </w:r>
      <w:r>
        <w:rPr>
          <w:b w:val="0"/>
          <w:i w:val="0"/>
        </w:rPr>
        <w:t xml:space="preserve">Response, Complete TMA Response status over time, and increase in hemoglobin from baseline. </w:t>
      </w:r>
      <w:r>
        <w:rPr>
          <w:b w:val="0"/>
          <w:i/>
        </w:rPr>
        <w:t xml:space="preserve">Primary  </w:t>
      </w:r>
      <w:r>
        <w:rPr>
          <w:b w:val="0"/>
          <w:i w:val="0"/>
        </w:rPr>
        <w:t xml:space="preserve">The primary efficacy endpoint for Cohort 1 is Complete TMA Response during the 26-week Initial </w:t>
      </w:r>
      <w:r>
        <w:rPr>
          <w:b w:val="0"/>
          <w:i w:val="0"/>
        </w:rPr>
        <w:t xml:space="preserve">Evaluation Period, as evidenced by normalization of hematological parameters (platelet count and LDH) </w:t>
      </w:r>
      <w:r>
        <w:rPr>
          <w:b w:val="0"/>
          <w:i w:val="0"/>
        </w:rPr>
        <w:t>and ≥ 25% improvement in serum creatinine from baseline</w:t>
      </w:r>
      <w:r>
        <w:rPr>
          <w:b w:val="0"/>
          <w:i w:val="0"/>
        </w:rPr>
        <w:t xml:space="preserve">. Patients must meet all Complete TMA </w:t>
      </w:r>
      <w:r>
        <w:rPr>
          <w:b w:val="0"/>
          <w:i w:val="0"/>
        </w:rPr>
        <w:t xml:space="preserve">Response criteria at two separate assessments obtained at least 4 weeks (28 days) apart, and any </w:t>
      </w:r>
      <w:r>
        <w:rPr>
          <w:b w:val="0"/>
          <w:i w:val="0"/>
        </w:rPr>
        <w:t xml:space="preserve">measurement in between.  </w:t>
      </w:r>
    </w:p>
    <w:p>
      <w:r>
        <w:rPr>
          <w:b w:val="0"/>
          <w:i w:val="0"/>
        </w:rPr>
        <w:t xml:space="preserve">Alexion Pharmaceuticals, Inc. </w:t>
      </w:r>
      <w:r>
        <w:rPr>
          <w:b w:val="0"/>
          <w:i w:val="0"/>
        </w:rPr>
        <w:t>Amendment 6 (Global) 16 Jul 2019</w:t>
      </w:r>
      <w:r>
        <w:rPr>
          <w:b w:val="0"/>
          <w:i w:val="0"/>
        </w:rPr>
        <w:t xml:space="preserve"> </w:t>
      </w:r>
    </w:p>
    <w:p>
      <w:r>
        <w:rPr>
          <w:b w:val="0"/>
          <w:i/>
        </w:rPr>
        <w:t xml:space="preserve">Secondary </w:t>
      </w:r>
      <w:r>
        <w:rPr>
          <w:b w:val="0"/>
          <w:i w:val="0"/>
        </w:rPr>
        <w:t xml:space="preserve">The secondary efficacy endpoints for Cohort 1 are the following and will be measured through 26 weeks and over </w:t>
      </w:r>
      <w:r>
        <w:rPr>
          <w:b w:val="0"/>
          <w:i w:val="0"/>
        </w:rPr>
        <w:t xml:space="preserve">the entire study period: </w:t>
      </w:r>
    </w:p>
    <w:p>
      <w:pPr>
        <w:pStyle w:val="ListNumber"/>
      </w:pPr>
      <w:r>
        <w:t>Dialysis requirement status</w:t>
      </w:r>
    </w:p>
    <w:p>
      <w:pPr>
        <w:pStyle w:val="ListNumber"/>
      </w:pPr>
      <w:r>
        <w:t>Time to Complete TMA Response</w:t>
      </w:r>
    </w:p>
    <w:p>
      <w:pPr>
        <w:pStyle w:val="ListNumber"/>
      </w:pPr>
      <w:r>
        <w:t>Complete TMA Response status over time</w:t>
      </w:r>
    </w:p>
    <w:p>
      <w:pPr>
        <w:pStyle w:val="ListNumber"/>
      </w:pPr>
      <w:r>
        <w:t>Observed value and change from baseline in eGFR</w:t>
      </w:r>
    </w:p>
    <w:p>
      <w:pPr>
        <w:pStyle w:val="ListNumber"/>
      </w:pPr>
      <w:r>
        <w:t>CKD stage, as evaluated by eGFR at select target days and classified as improved, stable (no change), or worsened compared to baseline</w:t>
      </w:r>
    </w:p>
    <w:p>
      <w:pPr>
        <w:pStyle w:val="ListNumber"/>
      </w:pPr>
      <w:r>
        <w:t>Observed value and change from baseline in hematologic parameters (platelets, LDH, hemoglobin)</w:t>
      </w:r>
    </w:p>
    <w:p>
      <w:pPr>
        <w:pStyle w:val="ListNumber"/>
      </w:pPr>
      <w:r>
        <w:t>Increase in hemoglobin of ≥ 20 g/L from baseline, observed at 2 separate assessments obtained at least 4 weeks (28 days) apart, and any measurement in between</w:t>
      </w:r>
    </w:p>
    <w:p>
      <w:pPr>
        <w:pStyle w:val="ListNumber"/>
      </w:pPr>
      <w:r>
        <w:t>Change from baseline in QoL, as measured by Pediatric FACIT Fatigue questionnaire (patients ≥ 5 years of age).</w:t>
      </w:r>
    </w:p>
    <w:p>
      <w:pPr>
        <w:pStyle w:val="ListNumber"/>
      </w:pPr>
      <w:r>
        <w:t>TMA parameters in patients who discontinue treatment in the Extension Period, but remain in the study</w:t>
      </w:r>
    </w:p>
    <w:p>
      <w:r>
        <w:rPr>
          <w:b w:val="0"/>
          <w:i w:val="0"/>
        </w:rPr>
        <w:t xml:space="preserve">The secondary efficacy endpoints for Cohort 2 are the following and will be measured through 26 weeks and over </w:t>
      </w:r>
      <w:r>
        <w:rPr>
          <w:b w:val="0"/>
          <w:i w:val="0"/>
        </w:rPr>
        <w:t xml:space="preserve">the entire study period:  </w:t>
      </w:r>
    </w:p>
    <w:p>
      <w:pPr>
        <w:pStyle w:val="ListNumber"/>
      </w:pPr>
      <w:r>
        <w:t>Dialysis requirement status</w:t>
      </w:r>
    </w:p>
    <w:p>
      <w:pPr>
        <w:pStyle w:val="ListNumber"/>
      </w:pPr>
      <w:r>
        <w:t>Observed value and change from baseline in eGFR</w:t>
      </w:r>
    </w:p>
    <w:p>
      <w:pPr>
        <w:pStyle w:val="ListNumber"/>
      </w:pPr>
      <w:r>
        <w:t>CKD stage, as evaluated by eGFR at select target days and classified as improved, stable (no change), or worsened compared to baseline</w:t>
      </w:r>
    </w:p>
    <w:p>
      <w:pPr>
        <w:pStyle w:val="ListNumber"/>
      </w:pPr>
      <w:r>
        <w:t>Observed value and change from baseline in hematologic parameters (platelets, LDH, hemoglobin)</w:t>
      </w:r>
    </w:p>
    <w:p>
      <w:pPr>
        <w:pStyle w:val="ListNumber"/>
      </w:pPr>
      <w:r>
        <w:t>Change from baseline in QoL, as measured by Pediatric FACIT Fatigue questionnaire (patients ≥ 5 years of age)</w:t>
      </w:r>
    </w:p>
    <w:p>
      <w:pPr>
        <w:pStyle w:val="ListNumber"/>
      </w:pPr>
      <w:r>
        <w:t>TMA parameters in patients who discontinue treatment in the Extension Period, but remain in the study</w:t>
      </w:r>
    </w:p>
    <w:p>
      <w:r>
        <w:rPr>
          <w:b w:val="0"/>
          <w:i w:val="0"/>
        </w:rPr>
        <w:t>Pharmacokinetics/Pharmacodynamics</w:t>
      </w:r>
      <w:r>
        <w:rPr>
          <w:b w:val="0"/>
          <w:i w:val="0"/>
        </w:rPr>
        <w:t xml:space="preserve"> </w:t>
      </w:r>
      <w:r>
        <w:rPr>
          <w:b w:val="0"/>
          <w:i w:val="0"/>
        </w:rPr>
        <w:t>The following PK/PD endpoints are applicable for Cohort 1 and Cohort 2:</w:t>
      </w:r>
      <w:r>
        <w:rPr>
          <w:b w:val="0"/>
          <w:i w:val="0"/>
        </w:rPr>
        <w:t xml:space="preserve">  </w:t>
      </w:r>
    </w:p>
    <w:p>
      <w:pPr>
        <w:pStyle w:val="ListNumber"/>
      </w:pPr>
      <w:r>
        <w:t>Changes in serum ALXN1210 concentration over time</w:t>
      </w:r>
    </w:p>
    <w:p>
      <w:pPr>
        <w:pStyle w:val="ListNumber"/>
      </w:pPr>
      <w:r>
        <w:t>Changes in serum free C5 concentrations over time</w:t>
      </w:r>
    </w:p>
    <w:p>
      <w:pPr>
        <w:pStyle w:val="ListNumber"/>
      </w:pPr>
      <w:r>
        <w:t>Changes in serum free C5 and serum ALXN1210 concentration in patients who discontinue treatment in the Extension Period, but remain in the study</w:t>
      </w:r>
    </w:p>
    <w:p>
      <w:r>
        <w:rPr>
          <w:b w:val="0"/>
          <w:i w:val="0"/>
        </w:rPr>
        <w:t xml:space="preserve">Exploratory </w:t>
      </w:r>
      <w:r>
        <w:rPr>
          <w:b w:val="0"/>
          <w:i w:val="0"/>
        </w:rPr>
        <w:t xml:space="preserve">The following exploratory endpoints are applicable for Cohort 1 and Cohort 2: </w:t>
      </w:r>
      <w:r>
        <w:rPr>
          <w:b w:val="0"/>
          <w:i/>
        </w:rPr>
        <w:t xml:space="preserve">Biomarkers </w:t>
      </w:r>
      <w:r>
        <w:rPr>
          <w:b w:val="0"/>
          <w:i w:val="0"/>
        </w:rPr>
        <w:t xml:space="preserve">Exploratory biomarkers of PD effect may include, but are not limited to, change from baseline in levels of markers </w:t>
      </w:r>
      <w:r>
        <w:rPr>
          <w:b w:val="0"/>
          <w:i w:val="0"/>
        </w:rPr>
        <w:t xml:space="preserve">of complement dysregulation (eg, Factor Ba), vascular inflammation (eg, soluble tumor necrosis factor receptor 1 </w:t>
      </w:r>
      <w:r>
        <w:rPr>
          <w:b w:val="0"/>
          <w:i w:val="0"/>
        </w:rPr>
        <w:t xml:space="preserve">[sTNFR1]), endothelial activation/damage (eg, soluble </w:t>
      </w:r>
      <w:r>
        <w:rPr>
          <w:b w:val="0"/>
          <w:i w:val="0"/>
        </w:rPr>
        <w:t xml:space="preserve">vascular adhesion molecule 1 [sVCAM-1], </w:t>
      </w:r>
      <w:r>
        <w:rPr>
          <w:b w:val="0"/>
          <w:i w:val="0"/>
        </w:rPr>
        <w:t xml:space="preserve">thrombomodulin), coagulation (eg, D-dimer), and renal injury (eg, cystatin C). Additional assessments may include </w:t>
      </w:r>
      <w:r>
        <w:rPr>
          <w:b w:val="0"/>
          <w:i w:val="0"/>
        </w:rPr>
        <w:t xml:space="preserve">measurements of ALXN1210 excretion in urine, chicken red blood cell (cRBC) hemolysis, total C5, autoantibodies </w:t>
      </w:r>
      <w:r>
        <w:rPr>
          <w:b w:val="0"/>
          <w:i w:val="0"/>
        </w:rPr>
        <w:t xml:space="preserve">to complement proteins (eg, anti-factor H). </w:t>
      </w:r>
    </w:p>
    <w:p>
      <w:r>
        <w:rPr>
          <w:b w:val="0"/>
          <w:i/>
        </w:rPr>
        <w:t xml:space="preserve">Genetics </w:t>
      </w:r>
      <w:r>
        <w:rPr>
          <w:b w:val="0"/>
          <w:i w:val="0"/>
        </w:rPr>
        <w:t xml:space="preserve">Exploratory genetics may be performed to investigate genetic variants in genes known to be associated with aHUS, </w:t>
      </w:r>
      <w:r>
        <w:rPr>
          <w:b w:val="0"/>
          <w:i w:val="0"/>
        </w:rPr>
        <w:t xml:space="preserve">as well as to identify novel genetic variants associated with aHUS, complement dysregulation, or metabolism or </w:t>
      </w:r>
      <w:r>
        <w:rPr>
          <w:b w:val="0"/>
          <w:i w:val="0"/>
        </w:rPr>
        <w:t xml:space="preserve">efficacy of ALXN1210. Patients (or legal guardian) may decline from providing a sample for exploratory genetics </w:t>
      </w:r>
      <w:r>
        <w:rPr>
          <w:b w:val="0"/>
          <w:i w:val="0"/>
        </w:rPr>
        <w:t xml:space="preserve">and still participate in the study. </w:t>
      </w:r>
    </w:p>
    <w:p>
      <w:r>
        <w:rPr>
          <w:b w:val="0"/>
          <w:i w:val="0"/>
        </w:rPr>
        <w:t xml:space="preserve">Alexion Pharmaceuticals, Inc. </w:t>
      </w:r>
      <w:r>
        <w:rPr>
          <w:b w:val="0"/>
          <w:i w:val="0"/>
        </w:rPr>
        <w:t>Amendment 6 (Global) 16 Jul 2019</w:t>
      </w:r>
      <w:r>
        <w:rPr>
          <w:b w:val="0"/>
          <w:i w:val="0"/>
        </w:rPr>
        <w:t xml:space="preserve"> </w:t>
      </w:r>
    </w:p>
    <w:p>
      <w:r>
        <w:rPr>
          <w:b w:val="0"/>
          <w:i/>
        </w:rPr>
        <w:t xml:space="preserve">Extra-renal Signs or Symptoms of aHUS </w:t>
      </w:r>
      <w:r>
        <w:rPr>
          <w:b w:val="0"/>
          <w:i w:val="0"/>
        </w:rPr>
        <w:t xml:space="preserve">The Investigator will evaluate extra-renal signs or symptoms of aHUS using clinical laboratory measurements, </w:t>
      </w:r>
      <w:r>
        <w:rPr>
          <w:b w:val="0"/>
          <w:i w:val="0"/>
        </w:rPr>
        <w:t xml:space="preserve">vital signs, and an organ system review. </w:t>
      </w:r>
    </w:p>
    <w:p>
      <w:r>
        <w:rPr>
          <w:b w:val="0"/>
          <w:i w:val="0"/>
        </w:rPr>
        <w:t xml:space="preserve">Safety  </w:t>
      </w:r>
      <w:r>
        <w:rPr>
          <w:b w:val="0"/>
          <w:i w:val="0"/>
        </w:rPr>
        <w:t xml:space="preserve">For Cohort 1 and Cohort 2, the long-term safety and tolerability of ALXN1210 will be evaluated by physical </w:t>
      </w:r>
      <w:r>
        <w:rPr>
          <w:b w:val="0"/>
          <w:i w:val="0"/>
        </w:rPr>
        <w:t>examinations, vital signs, physical growth (height, weight, and head circumference [the lat</w:t>
      </w:r>
      <w:r>
        <w:rPr>
          <w:b w:val="0"/>
          <w:i w:val="0"/>
        </w:rPr>
        <w:t xml:space="preserve">ter only in patients ≤ 2 </w:t>
      </w:r>
      <w:r>
        <w:rPr>
          <w:b w:val="0"/>
          <w:i w:val="0"/>
        </w:rPr>
        <w:t xml:space="preserve">years of age]), electrocardiograms (ECG), laboratory assessments, and incidence of adverse events (AEs) and </w:t>
      </w:r>
      <w:r>
        <w:rPr>
          <w:b w:val="0"/>
          <w:i w:val="0"/>
        </w:rPr>
        <w:t xml:space="preserve">serious adverse events (SAEs). The proportion of patients who develop antidrug antibodies (ADA) will also be </w:t>
      </w:r>
      <w:r>
        <w:rPr>
          <w:b w:val="0"/>
          <w:i w:val="0"/>
        </w:rPr>
        <w:t xml:space="preserve">assessed. </w:t>
      </w:r>
    </w:p>
    <w:p>
      <w:r>
        <w:rPr>
          <w:b/>
          <w:i w:val="0"/>
        </w:rPr>
        <w:t xml:space="preserve">Sample Size: </w:t>
      </w:r>
      <w:r>
        <w:rPr>
          <w:b w:val="0"/>
          <w:i w:val="0"/>
        </w:rPr>
        <w:t xml:space="preserve">The total planned sample size is approximately 23 to 28 patients. This sample size is deemed appropriate to get </w:t>
      </w:r>
      <w:r>
        <w:rPr>
          <w:b w:val="0"/>
          <w:i w:val="0"/>
        </w:rPr>
        <w:t>proper representation in each of the 4 planned age groups.</w:t>
      </w:r>
      <w:r>
        <w:rPr>
          <w:b/>
          <w:i w:val="0"/>
        </w:rPr>
        <w:t xml:space="preserve"> </w:t>
      </w:r>
      <w:r>
        <w:rPr>
          <w:b/>
          <w:i w:val="0"/>
        </w:rPr>
        <w:t xml:space="preserve">Statistical methods:  </w:t>
      </w:r>
      <w:r>
        <w:rPr>
          <w:b w:val="0"/>
          <w:i w:val="0"/>
        </w:rPr>
        <w:t xml:space="preserve">General: All data collected will be presented using summary tables, figures, and data listings. All analyses will be </w:t>
      </w:r>
      <w:r>
        <w:rPr>
          <w:b w:val="0"/>
          <w:i w:val="0"/>
        </w:rPr>
        <w:t>performed using SAS</w:t>
      </w:r>
      <w:r>
        <w:rPr>
          <w:b w:val="0"/>
          <w:i w:val="0"/>
        </w:rPr>
        <w:t>®</w:t>
      </w:r>
      <w:r>
        <w:rPr>
          <w:b w:val="0"/>
          <w:i w:val="0"/>
        </w:rPr>
        <w:t xml:space="preserve"> release, version 9.4 or higher (SAS Institute Inc., Cary, NC, USA) or other validated </w:t>
      </w:r>
      <w:r>
        <w:rPr>
          <w:b w:val="0"/>
          <w:i w:val="0"/>
        </w:rPr>
        <w:t xml:space="preserve">statistical software. Continuous variables will be summarized using descriptive statistics, including number of </w:t>
      </w:r>
      <w:r>
        <w:rPr>
          <w:b w:val="0"/>
          <w:i w:val="0"/>
        </w:rPr>
        <w:t xml:space="preserve">observations and mean, standard deviation (SD), median, minimum, and maximum values. Categorical variables </w:t>
      </w:r>
      <w:r>
        <w:rPr>
          <w:b w:val="0"/>
          <w:i w:val="0"/>
        </w:rPr>
        <w:t xml:space="preserve">will be summarized by frequency counts and percentage of patients. The analyses for Cohort 1 and Cohort 2 will </w:t>
      </w:r>
      <w:r>
        <w:rPr>
          <w:b w:val="0"/>
          <w:i w:val="0"/>
        </w:rPr>
        <w:t xml:space="preserve">be conducted and reported separately. Analyses specific to Cohort 1 are indicated as such below; all other </w:t>
      </w:r>
      <w:r>
        <w:rPr>
          <w:b w:val="0"/>
          <w:i w:val="0"/>
        </w:rPr>
        <w:t xml:space="preserve">endpoints will be performed for both cohorts. Tabulated summaries will not include a direct comparison between </w:t>
      </w:r>
      <w:r>
        <w:rPr>
          <w:b w:val="0"/>
          <w:i w:val="0"/>
        </w:rPr>
        <w:t xml:space="preserve">Cohort 1 and Cohort 2.  </w:t>
      </w:r>
      <w:r>
        <w:rPr>
          <w:b w:val="0"/>
          <w:i w:val="0"/>
        </w:rPr>
        <w:t xml:space="preserve">An interim clinical study report (CSR) will be prepared when 12 to 14 complement inhibitor treatment-naïve (ie, </w:t>
      </w:r>
      <w:r>
        <w:rPr>
          <w:b w:val="0"/>
          <w:i w:val="0"/>
        </w:rPr>
        <w:t xml:space="preserve">Cohort 1) patients have completed or withdrawn from the 26-week Initial Evaluation Period. An additional interim </w:t>
      </w:r>
      <w:r>
        <w:rPr>
          <w:b w:val="0"/>
          <w:i w:val="0"/>
        </w:rPr>
        <w:t xml:space="preserve">CSR will be prepared when all study patients have completed or withdrawn from the 26-week Initial Evaluation </w:t>
      </w:r>
      <w:r>
        <w:rPr>
          <w:b w:val="0"/>
          <w:i w:val="0"/>
        </w:rPr>
        <w:t xml:space="preserve">Period. Each interim CSR </w:t>
      </w:r>
      <w:r>
        <w:rPr>
          <w:b w:val="0"/>
          <w:i w:val="0"/>
        </w:rPr>
        <w:t>will include efficacy, safety, and PK/PD analyses. A final CSR to summarize long</w:t>
      </w:r>
      <w:r>
        <w:rPr>
          <w:b w:val="0"/>
          <w:i w:val="0"/>
        </w:rPr>
        <w:t xml:space="preserve">-term </w:t>
      </w:r>
      <w:r>
        <w:rPr>
          <w:b w:val="0"/>
          <w:i w:val="0"/>
        </w:rPr>
        <w:t>efficacy, safety, and PK/PD will be produced at study completion. Available explorato</w:t>
      </w:r>
      <w:r>
        <w:rPr>
          <w:b w:val="0"/>
          <w:i w:val="0"/>
        </w:rPr>
        <w:t xml:space="preserve">ry data will be summarized </w:t>
      </w:r>
      <w:r>
        <w:rPr>
          <w:b w:val="0"/>
          <w:i w:val="0"/>
        </w:rPr>
        <w:t xml:space="preserve">after study completion but may not be included in the CSR. All data collected will be presented using summary </w:t>
      </w:r>
      <w:r>
        <w:rPr>
          <w:b w:val="0"/>
          <w:i w:val="0"/>
        </w:rPr>
        <w:t xml:space="preserve">tables, figures, and data listings. Planned summaries will be presented overall and by age groups when applicable. </w:t>
      </w:r>
    </w:p>
    <w:p>
      <w:r>
        <w:rPr>
          <w:b w:val="0"/>
          <w:i w:val="0"/>
        </w:rPr>
        <w:t xml:space="preserve">Efficacy: Efficacy analyses will be performed on the Full Analysis Set (FAS). The analysis of the FAS will be the </w:t>
      </w:r>
      <w:r>
        <w:rPr>
          <w:b w:val="0"/>
          <w:i w:val="0"/>
        </w:rPr>
        <w:t xml:space="preserve">primary analysis.  </w:t>
      </w:r>
      <w:r>
        <w:rPr>
          <w:b w:val="0"/>
          <w:i w:val="0"/>
        </w:rPr>
        <w:t xml:space="preserve">The FAS for Cohort 1 will be based on a modified intent to treat (mITT) approach. With this approach, </w:t>
      </w:r>
      <w:r>
        <w:rPr>
          <w:b w:val="0"/>
          <w:i w:val="0"/>
        </w:rPr>
        <w:t xml:space="preserve">confirmation of eligibility in patients may occur after receiving study drug. This specifically applies to Inclusion </w:t>
      </w:r>
      <w:r>
        <w:rPr>
          <w:b w:val="0"/>
          <w:i w:val="0"/>
        </w:rPr>
        <w:t xml:space="preserve">Criterion number 2c (must be confirmed via a central laboratory), Exclusion Criterion number 1 (may be </w:t>
      </w:r>
      <w:r>
        <w:rPr>
          <w:b w:val="0"/>
          <w:i w:val="0"/>
        </w:rPr>
        <w:t xml:space="preserve">confirmed via a central or local laboratory), and Exclusion Criterion number 2 (may be confirmed via a central or </w:t>
      </w:r>
      <w:r>
        <w:rPr>
          <w:b w:val="0"/>
          <w:i w:val="0"/>
        </w:rPr>
        <w:t xml:space="preserve">local laboratory). Based on the above, the FAS will include all patients who receive at least 1 dose of ALXN1210, </w:t>
      </w:r>
      <w:r>
        <w:rPr>
          <w:b w:val="0"/>
          <w:i w:val="0"/>
        </w:rPr>
        <w:t xml:space="preserve">have at least 1 postbaseline efficacy assessment, and meet all of the following criteria (these are the same criteria </w:t>
      </w:r>
      <w:r>
        <w:rPr>
          <w:b w:val="0"/>
          <w:i w:val="0"/>
        </w:rPr>
        <w:t xml:space="preserve">that if not satisfied will result in discontinuation of the patient and potential replacement):  </w:t>
      </w:r>
      <w:r>
        <w:rPr>
          <w:b w:val="0"/>
          <w:i w:val="0"/>
        </w:rPr>
        <w:t>•</w:t>
      </w:r>
      <w:r>
        <w:rPr>
          <w:b w:val="0"/>
          <w:i w:val="0"/>
        </w:rPr>
        <w:t xml:space="preserve"> </w:t>
      </w:r>
      <w:r>
        <w:rPr>
          <w:b w:val="0"/>
          <w:i w:val="0"/>
        </w:rPr>
        <w:t xml:space="preserve">Patients who satisfy Inclusion Criterion number 2c  </w:t>
      </w:r>
      <w:r>
        <w:rPr>
          <w:b w:val="0"/>
          <w:i w:val="0"/>
        </w:rPr>
        <w:t>•</w:t>
      </w:r>
      <w:r>
        <w:rPr>
          <w:b w:val="0"/>
          <w:i w:val="0"/>
        </w:rPr>
        <w:t xml:space="preserve"> </w:t>
      </w:r>
      <w:r>
        <w:rPr>
          <w:b w:val="0"/>
          <w:i w:val="0"/>
        </w:rPr>
        <w:t xml:space="preserve">Patients who satisfy Exclusion Criterion number 1 </w:t>
      </w:r>
      <w:r>
        <w:rPr>
          <w:b w:val="0"/>
          <w:i w:val="0"/>
        </w:rPr>
        <w:t>•</w:t>
      </w:r>
      <w:r>
        <w:rPr>
          <w:b w:val="0"/>
          <w:i w:val="0"/>
        </w:rPr>
        <w:t xml:space="preserve"> </w:t>
      </w:r>
      <w:r>
        <w:rPr>
          <w:b w:val="0"/>
          <w:i w:val="0"/>
        </w:rPr>
        <w:t xml:space="preserve">Patients who satisfy Exclusion Criterion number 2 </w:t>
      </w:r>
    </w:p>
    <w:p>
      <w:r>
        <w:rPr>
          <w:b w:val="0"/>
          <w:i w:val="0"/>
        </w:rPr>
        <w:t xml:space="preserve">The FAS for Cohort 2 will include all patients who receive at least 1 dose of ALXN1210 and have at least 1 </w:t>
      </w:r>
      <w:r>
        <w:rPr>
          <w:b w:val="0"/>
          <w:i w:val="0"/>
        </w:rPr>
        <w:t xml:space="preserve">postbaseline efficacy assessment. </w:t>
      </w:r>
    </w:p>
    <w:p>
      <w:r>
        <w:rPr>
          <w:b w:val="0"/>
          <w:i w:val="0"/>
        </w:rPr>
        <w:t xml:space="preserve">The FAS will be determined prior to database lock and prior to the database snapshots for the analyses performed </w:t>
      </w:r>
      <w:r>
        <w:rPr>
          <w:b w:val="0"/>
          <w:i w:val="0"/>
        </w:rPr>
        <w:t xml:space="preserve">at the end of the 26-week Initial Evaluation Period. </w:t>
      </w:r>
    </w:p>
    <w:p>
      <w:r>
        <w:rPr>
          <w:b/>
          <w:i w:val="0"/>
        </w:rPr>
        <w:t xml:space="preserve">Primary efficacy: </w:t>
      </w:r>
      <w:r>
        <w:rPr>
          <w:b w:val="0"/>
          <w:i w:val="0"/>
        </w:rPr>
        <w:t xml:space="preserve">The primary efficacy endpoint is Complete TMA Response during the 26-week Initial Evaluation Period. The </w:t>
      </w:r>
      <w:r>
        <w:rPr>
          <w:b w:val="0"/>
          <w:i w:val="0"/>
        </w:rPr>
        <w:t xml:space="preserve">primary analysis will consist in estimating the proportion of complete TMA responders among ALXN1210 treated </w:t>
      </w:r>
      <w:r>
        <w:rPr>
          <w:b w:val="0"/>
          <w:i w:val="0"/>
        </w:rPr>
        <w:t xml:space="preserve">patients. This will be performed by calculating the point estimate and a 95% confidence interval (CI) for the </w:t>
      </w:r>
      <w:r>
        <w:rPr>
          <w:b w:val="0"/>
          <w:i w:val="0"/>
        </w:rPr>
        <w:t xml:space="preserve">proportion of complete TMA responders in ALXN1210 treated patients. The CI will be based on exact confidence </w:t>
      </w:r>
      <w:r>
        <w:rPr>
          <w:b w:val="0"/>
          <w:i w:val="0"/>
        </w:rPr>
        <w:t xml:space="preserve">limits using the Clopper-Pearson method. This analysis will only be performed for Cohort 1. </w:t>
      </w:r>
    </w:p>
    <w:p>
      <w:r>
        <w:rPr>
          <w:b w:val="0"/>
          <w:i w:val="0"/>
        </w:rPr>
        <w:t xml:space="preserve">Alexion Pharmaceuticals, Inc. </w:t>
      </w:r>
      <w:r>
        <w:rPr>
          <w:b w:val="0"/>
          <w:i w:val="0"/>
        </w:rPr>
        <w:t>Amendment 6 (Global) 16 Jul 2019</w:t>
      </w:r>
      <w:r>
        <w:rPr>
          <w:b w:val="0"/>
          <w:i w:val="0"/>
        </w:rPr>
        <w:t xml:space="preserve"> </w:t>
      </w:r>
    </w:p>
    <w:p>
      <w:r>
        <w:rPr>
          <w:b/>
          <w:i w:val="0"/>
        </w:rPr>
        <w:t xml:space="preserve">Secondary efficacy: </w:t>
      </w:r>
      <w:r>
        <w:rPr>
          <w:b w:val="0"/>
          <w:i w:val="0"/>
        </w:rPr>
        <w:t xml:space="preserve">For the secondary efficacy endpoint of time to Complete TMA Response, a Kaplan-Meier cumulative distribution </w:t>
      </w:r>
      <w:r>
        <w:rPr>
          <w:b w:val="0"/>
          <w:i w:val="0"/>
        </w:rPr>
        <w:t xml:space="preserve">curve will be generated along with a 2-sided 95% CI. The corresponding summary table will present the </w:t>
      </w:r>
      <w:r>
        <w:rPr>
          <w:b w:val="0"/>
          <w:i w:val="0"/>
        </w:rPr>
        <w:t xml:space="preserve">cumulative distribution function (CDF) estimate, the number of patients at risk, the number of patients responding, </w:t>
      </w:r>
      <w:r>
        <w:rPr>
          <w:b w:val="0"/>
          <w:i w:val="0"/>
        </w:rPr>
        <w:t xml:space="preserve">and the number of patients censored at each postbaseline time point. The table will also present first quartile, </w:t>
      </w:r>
      <w:r>
        <w:rPr>
          <w:b w:val="0"/>
          <w:i w:val="0"/>
        </w:rPr>
        <w:t xml:space="preserve">median, and third quartile, along with corresponding 2-sided 95% CI, of time to complete response. This analysis </w:t>
      </w:r>
      <w:r>
        <w:rPr>
          <w:b w:val="0"/>
          <w:i w:val="0"/>
        </w:rPr>
        <w:t xml:space="preserve">will only be performed for Cohort 1. </w:t>
      </w:r>
    </w:p>
    <w:p>
      <w:r>
        <w:rPr>
          <w:b w:val="0"/>
          <w:i w:val="0"/>
        </w:rPr>
        <w:t xml:space="preserve">Complete TMA response will also be summarized over time by presenting the number and proportion of </w:t>
      </w:r>
      <w:r>
        <w:rPr>
          <w:b w:val="0"/>
          <w:i w:val="0"/>
        </w:rPr>
        <w:t xml:space="preserve">responders along with a 2-sided 95% CI for each postbaseline time point. A similar approach will be used to </w:t>
      </w:r>
      <w:r>
        <w:rPr>
          <w:b w:val="0"/>
          <w:i w:val="0"/>
        </w:rPr>
        <w:t>summarize the number and proportion of patients with an increase from baseline in hemoglob</w:t>
      </w:r>
      <w:r>
        <w:rPr>
          <w:b w:val="0"/>
          <w:i w:val="0"/>
        </w:rPr>
        <w:t>in ≥</w:t>
      </w:r>
      <w:r>
        <w:rPr>
          <w:b w:val="0"/>
          <w:i w:val="0"/>
        </w:rPr>
        <w:t xml:space="preserve"> 20 </w:t>
      </w:r>
      <w:r>
        <w:rPr>
          <w:b w:val="0"/>
          <w:i w:val="0"/>
        </w:rPr>
        <w:t xml:space="preserve">g/L, </w:t>
      </w:r>
      <w:r>
        <w:rPr>
          <w:b w:val="0"/>
          <w:i w:val="0"/>
        </w:rPr>
        <w:t xml:space="preserve">observed </w:t>
      </w:r>
      <w:r>
        <w:rPr>
          <w:b w:val="0"/>
          <w:i w:val="0"/>
        </w:rPr>
        <w:t xml:space="preserve">at 2 separate assessments obtained at least 4 weeks (28 days) apart, and any measurement in between. This analysis </w:t>
      </w:r>
      <w:r>
        <w:rPr>
          <w:b w:val="0"/>
          <w:i w:val="0"/>
        </w:rPr>
        <w:t xml:space="preserve">will only be performed for Cohort 1. </w:t>
      </w:r>
    </w:p>
    <w:p>
      <w:r>
        <w:rPr>
          <w:b w:val="0"/>
          <w:i w:val="0"/>
        </w:rPr>
        <w:t xml:space="preserve">Kidney function (dialysis requirement status, eGFR, CKD stage) as well as hematologic parameters (platelets, </w:t>
      </w:r>
      <w:r>
        <w:rPr>
          <w:b w:val="0"/>
          <w:i w:val="0"/>
        </w:rPr>
        <w:t xml:space="preserve">LDH, hemoglobin) will be summarized at baseline and each postbaseline time point. These analyses will be </w:t>
      </w:r>
      <w:r>
        <w:rPr>
          <w:b w:val="0"/>
          <w:i w:val="0"/>
        </w:rPr>
        <w:t xml:space="preserve">performed for both Cohort 1 and Cohort 2. Descriptive statistics for continuous variables (eGFR, platelets, LDH, </w:t>
      </w:r>
      <w:r>
        <w:rPr>
          <w:b w:val="0"/>
          <w:i w:val="0"/>
        </w:rPr>
        <w:t xml:space="preserve">hemoglobin) will be used to summarize the observed value as well as the change from baseline. A mixed model for </w:t>
      </w:r>
      <w:r>
        <w:rPr>
          <w:b w:val="0"/>
          <w:i w:val="0"/>
        </w:rPr>
        <w:t xml:space="preserve">repeated measures (MMRM) with the fixed, categorical effect of visit and fixed, continuous effect of the specific </w:t>
      </w:r>
      <w:r>
        <w:rPr>
          <w:b w:val="0"/>
          <w:i w:val="0"/>
        </w:rPr>
        <w:t xml:space="preserve">test’s baseline value as covariates may be fit to test whether changes differ from zero at each time point. Dialysis </w:t>
      </w:r>
      <w:r>
        <w:rPr>
          <w:b w:val="0"/>
          <w:i w:val="0"/>
        </w:rPr>
        <w:t xml:space="preserve">requirement status and CKD stage will be summarized over time. Dialysis requirement status will be summarized </w:t>
      </w:r>
      <w:r>
        <w:rPr>
          <w:b w:val="0"/>
          <w:i w:val="0"/>
        </w:rPr>
        <w:t xml:space="preserve">among patients receiving dialysis within 5 days prior to ALXN1210 treatment initiation by presenting the number </w:t>
      </w:r>
      <w:r>
        <w:rPr>
          <w:b w:val="0"/>
          <w:i w:val="0"/>
        </w:rPr>
        <w:t xml:space="preserve">and proportion of those patients receiving and not receiving dialysis at each time point. A 2-sided 95% CI for the </w:t>
      </w:r>
      <w:r>
        <w:rPr>
          <w:b w:val="0"/>
          <w:i w:val="0"/>
        </w:rPr>
        <w:t xml:space="preserve">proportion receiving dialysis will be provided. CKD stage will be summarized over time by presenting the number </w:t>
      </w:r>
      <w:r>
        <w:rPr>
          <w:b w:val="0"/>
          <w:i w:val="0"/>
        </w:rPr>
        <w:t xml:space="preserve">and proportion of patients that improved (excluding those with Stage 1 at baseline as they cannot improve), </w:t>
      </w:r>
      <w:r>
        <w:rPr>
          <w:b w:val="0"/>
          <w:i w:val="0"/>
        </w:rPr>
        <w:t xml:space="preserve">worsened (excluding those with Stage 5 at baseline as they cannot worsen), and stayed the same compared to CKD </w:t>
      </w:r>
      <w:r>
        <w:rPr>
          <w:b w:val="0"/>
          <w:i w:val="0"/>
        </w:rPr>
        <w:t xml:space="preserve">stage at baseline. Stage 5 will be considered the worst category, while Stage 1 will be considered the best category. </w:t>
      </w:r>
      <w:r>
        <w:rPr>
          <w:b w:val="0"/>
          <w:i w:val="0"/>
        </w:rPr>
        <w:t xml:space="preserve">A 2-sided 95% CI for the proportion will be provided for each category. </w:t>
      </w:r>
    </w:p>
    <w:p>
      <w:r>
        <w:rPr>
          <w:b w:val="0"/>
          <w:i w:val="0"/>
        </w:rPr>
        <w:t xml:space="preserve">Quality of life will be </w:t>
      </w:r>
      <w:r>
        <w:rPr>
          <w:b w:val="0"/>
          <w:i w:val="0"/>
        </w:rPr>
        <w:t>assessed in patients ≥ 5 years of age by the Pediatric FACIT Fatigue Questionnaire (patient</w:t>
      </w:r>
      <w:r>
        <w:rPr>
          <w:b w:val="0"/>
          <w:i w:val="0"/>
        </w:rPr>
        <w:t>-</w:t>
      </w:r>
      <w:r>
        <w:rPr>
          <w:b w:val="0"/>
          <w:i w:val="0"/>
        </w:rPr>
        <w:t xml:space="preserve">reported for patients who were </w:t>
      </w:r>
      <w:r>
        <w:rPr>
          <w:b w:val="0"/>
          <w:i w:val="0"/>
        </w:rPr>
        <w:t xml:space="preserve">≥ 8 years of age at </w:t>
      </w:r>
      <w:r>
        <w:rPr>
          <w:b w:val="0"/>
          <w:i w:val="0"/>
        </w:rPr>
        <w:t xml:space="preserve">the time of enrollment; caregiver-reported or caregiver assistance </w:t>
      </w:r>
      <w:r>
        <w:rPr>
          <w:b w:val="0"/>
          <w:i w:val="0"/>
        </w:rPr>
        <w:t xml:space="preserve">for patients who were 5 to &lt; 8 years of age at the time of enrollment). This measure will be summarized at baseline </w:t>
      </w:r>
      <w:r>
        <w:rPr>
          <w:b w:val="0"/>
          <w:i w:val="0"/>
        </w:rPr>
        <w:t xml:space="preserve">and each postbaseline time point using descriptive statistics for continuous variables for the observed value as well </w:t>
      </w:r>
      <w:r>
        <w:rPr>
          <w:b w:val="0"/>
          <w:i w:val="0"/>
        </w:rPr>
        <w:t xml:space="preserve">as the change from baseline. A MMRM with the fixed, categorical effect of visit and fixed, continuous effect of the </w:t>
      </w:r>
      <w:r>
        <w:rPr>
          <w:b w:val="0"/>
          <w:i w:val="0"/>
        </w:rPr>
        <w:t xml:space="preserve">test’s baseline value as covariates may be fit to test whether changes differ from zero at each time point. These </w:t>
      </w:r>
      <w:r>
        <w:rPr>
          <w:b w:val="0"/>
          <w:i w:val="0"/>
        </w:rPr>
        <w:t xml:space="preserve">analyses will be performed for both Cohort 1 and Cohort 2. Analyses will be separate for patients who were 5 to </w:t>
      </w:r>
      <w:r>
        <w:rPr>
          <w:b w:val="0"/>
          <w:i w:val="0"/>
        </w:rPr>
        <w:t xml:space="preserve">&lt; 8 years of age at the time of enrollment (ie, caregiver-reported or caregiver assistance) and patients who were </w:t>
      </w:r>
      <w:r>
        <w:rPr>
          <w:b w:val="0"/>
          <w:i w:val="0"/>
        </w:rPr>
        <w:t>≥</w:t>
      </w:r>
      <w:r>
        <w:rPr>
          <w:b w:val="0"/>
          <w:i w:val="0"/>
        </w:rPr>
        <w:t xml:space="preserve"> 8 </w:t>
      </w:r>
      <w:r>
        <w:rPr>
          <w:b w:val="0"/>
          <w:i w:val="0"/>
        </w:rPr>
        <w:t xml:space="preserve">years of age at the time of enrollment (ie, patient-reported). </w:t>
      </w:r>
    </w:p>
    <w:p>
      <w:r>
        <w:rPr>
          <w:b w:val="0"/>
          <w:i w:val="0"/>
        </w:rPr>
        <w:t xml:space="preserve">Safety: </w:t>
      </w:r>
      <w:r>
        <w:rPr>
          <w:b w:val="0"/>
          <w:i w:val="0"/>
        </w:rPr>
        <w:t xml:space="preserve">Safety analyses will be performed on the Safety Set defined as all patients who received at least 1 dose of </w:t>
      </w:r>
      <w:r>
        <w:rPr>
          <w:b w:val="0"/>
          <w:i w:val="0"/>
        </w:rPr>
        <w:t xml:space="preserve">ALXN1210 for both Cohort 1 and Cohort 2. The incidence of treatment emergent adverse events (TEAEs) and </w:t>
      </w:r>
      <w:r>
        <w:rPr>
          <w:b w:val="0"/>
          <w:i w:val="0"/>
        </w:rPr>
        <w:t xml:space="preserve">SAEs will be summarized by system organ class (SOC) and preferred term (PT) overall, by severity, and by </w:t>
      </w:r>
      <w:r>
        <w:rPr>
          <w:b w:val="0"/>
          <w:i w:val="0"/>
        </w:rPr>
        <w:t xml:space="preserve">relationship to treatment.  </w:t>
      </w:r>
    </w:p>
    <w:p>
      <w:r>
        <w:rPr>
          <w:b w:val="0"/>
          <w:i w:val="0"/>
        </w:rPr>
        <w:t xml:space="preserve">Observed values and changes from baseline (last assessment prior to ALXN1210) in ECGs, vital signs, and </w:t>
      </w:r>
      <w:r>
        <w:rPr>
          <w:b w:val="0"/>
          <w:i w:val="0"/>
        </w:rPr>
        <w:t xml:space="preserve">laboratory assessments, as well as presence of ADA will be summarized. Shifts from baseline in laboratory </w:t>
      </w:r>
      <w:r>
        <w:rPr>
          <w:b w:val="0"/>
          <w:i w:val="0"/>
        </w:rPr>
        <w:t xml:space="preserve">assessments will be summarized for all study visits. These analyses will be performed for both Cohort 1 and </w:t>
      </w:r>
      <w:r>
        <w:rPr>
          <w:b w:val="0"/>
          <w:i w:val="0"/>
        </w:rPr>
        <w:t xml:space="preserve">Cohort 2. </w:t>
      </w:r>
    </w:p>
    <w:p>
      <w:r>
        <w:rPr>
          <w:b w:val="0"/>
          <w:i w:val="0"/>
        </w:rPr>
        <w:t>Pharmacokinetics/Pharmacodynamics</w:t>
      </w:r>
      <w:r>
        <w:rPr>
          <w:b w:val="0"/>
          <w:i w:val="0"/>
        </w:rPr>
        <w:t xml:space="preserve">:  </w:t>
      </w:r>
      <w:r>
        <w:rPr>
          <w:b w:val="0"/>
          <w:i w:val="0"/>
        </w:rPr>
        <w:t xml:space="preserve">Sparse PK and PD (serum free C5) samples will be collected over the course of the study. Individual serum </w:t>
      </w:r>
      <w:r>
        <w:rPr>
          <w:b w:val="0"/>
          <w:i w:val="0"/>
        </w:rPr>
        <w:t xml:space="preserve">concentration data for all patients from the FAS and who have evaluable PK data will be used to derive the PK </w:t>
      </w:r>
      <w:r>
        <w:rPr>
          <w:b w:val="0"/>
          <w:i w:val="0"/>
        </w:rPr>
        <w:t xml:space="preserve">parameters for ALXN1210. These analyses will be performed for both Cohort 1 and Cohort 2. </w:t>
      </w:r>
    </w:p>
    <w:p>
      <w:r>
        <w:rPr>
          <w:b w:val="0"/>
          <w:i w:val="0"/>
        </w:rPr>
        <w:t xml:space="preserve">Alexion Pharmaceuticals, Inc. </w:t>
      </w:r>
      <w:r>
        <w:rPr>
          <w:b w:val="0"/>
          <w:i w:val="0"/>
        </w:rPr>
        <w:t>Amendment 6 (Global) 16 Jul 2019</w:t>
      </w:r>
      <w:r>
        <w:rPr>
          <w:b w:val="0"/>
          <w:i w:val="0"/>
        </w:rPr>
        <w:t xml:space="preserve"> </w:t>
      </w:r>
    </w:p>
    <w:p>
      <w:r>
        <w:rPr>
          <w:b w:val="0"/>
          <w:i w:val="0"/>
        </w:rPr>
        <w:t xml:space="preserve">Graphs of mean serum concentration-time profiles will be constructed. Graphs of serum concentration-time </w:t>
      </w:r>
      <w:r>
        <w:rPr>
          <w:b w:val="0"/>
          <w:i w:val="0"/>
        </w:rPr>
        <w:t xml:space="preserve">profiles for individual patients may also be provided. Actual dose administration and sampling times will be used </w:t>
      </w:r>
      <w:r>
        <w:rPr>
          <w:b w:val="0"/>
          <w:i w:val="0"/>
        </w:rPr>
        <w:t xml:space="preserve">for all calculations. Descriptive statistics will be calculated for serum concentration data at each sampling time, as </w:t>
      </w:r>
      <w:r>
        <w:rPr>
          <w:b w:val="0"/>
          <w:i w:val="0"/>
        </w:rPr>
        <w:t xml:space="preserve">appropriate. Assessment of population-PK may be considered using data from this study or in combination with </w:t>
      </w:r>
      <w:r>
        <w:rPr>
          <w:b w:val="0"/>
          <w:i w:val="0"/>
        </w:rPr>
        <w:t xml:space="preserve">data from other studies. </w:t>
      </w:r>
    </w:p>
    <w:p>
      <w:r>
        <w:rPr>
          <w:b w:val="0"/>
          <w:i w:val="0"/>
        </w:rPr>
        <w:t xml:space="preserve">Pharmacodynamic analyses will be performed for all patients from the Cohort 1 FAS and Cohort 2 FAS who have </w:t>
      </w:r>
      <w:r>
        <w:rPr>
          <w:b w:val="0"/>
          <w:i w:val="0"/>
        </w:rPr>
        <w:t xml:space="preserve">evaluable PD data. The PD effects of ALXN1210 will be evaluated by assessing the absolute values and changes </w:t>
      </w:r>
      <w:r>
        <w:rPr>
          <w:b w:val="0"/>
          <w:i w:val="0"/>
        </w:rPr>
        <w:t xml:space="preserve">and percentage changes from baseline in serum free C5 concentrations over time, as appropriate. Descriptive </w:t>
      </w:r>
      <w:r>
        <w:rPr>
          <w:b w:val="0"/>
          <w:i w:val="0"/>
        </w:rPr>
        <w:t xml:space="preserve">statistics will be calculated for the PD data at each sampling time, as appropriate.  </w:t>
      </w:r>
      <w:r>
        <w:rPr>
          <w:b w:val="0"/>
          <w:i w:val="0"/>
        </w:rPr>
        <w:t xml:space="preserve">Assessments of PK/PD </w:t>
      </w:r>
      <w:r>
        <w:rPr>
          <w:b w:val="0"/>
          <w:i w:val="0"/>
        </w:rPr>
        <w:t xml:space="preserve">relationships may be explored using data from this study or in combination with data from other studies. </w:t>
      </w:r>
    </w:p>
    <w:p>
      <w:r>
        <w:rPr>
          <w:b w:val="0"/>
          <w:i w:val="0"/>
        </w:rPr>
        <w:t xml:space="preserve">Exploratory </w:t>
      </w:r>
      <w:r>
        <w:rPr>
          <w:b w:val="0"/>
          <w:i/>
        </w:rPr>
        <w:t xml:space="preserve">Biomarkers: </w:t>
      </w:r>
      <w:r>
        <w:rPr>
          <w:b w:val="0"/>
          <w:i w:val="0"/>
        </w:rPr>
        <w:t xml:space="preserve">Exploratory analyses may be conducted for both Cohort 1 and Cohort 2 to evaluate changes from baseline in </w:t>
      </w:r>
      <w:r>
        <w:rPr>
          <w:b w:val="0"/>
          <w:i w:val="0"/>
        </w:rPr>
        <w:t xml:space="preserve">biomarkers which may include, but are not limited to, markers of complement dysregulation (eg, Factor Ba), </w:t>
      </w:r>
      <w:r>
        <w:rPr>
          <w:b w:val="0"/>
          <w:i w:val="0"/>
        </w:rPr>
        <w:t>vascular inflammation (eg, sTNFR1), endothelial activation/damage (eg, sVCAM</w:t>
      </w:r>
      <w:r>
        <w:rPr>
          <w:b w:val="0"/>
          <w:i w:val="0"/>
        </w:rPr>
        <w:t xml:space="preserve">-1, thrombomodulin) coagulation </w:t>
      </w:r>
      <w:r>
        <w:rPr>
          <w:b w:val="0"/>
          <w:i w:val="0"/>
        </w:rPr>
        <w:t xml:space="preserve">(eg, D-dimer), and renal injury (eg, cystatin C). Additional analysis may include evaluation of ALXN1210 </w:t>
      </w:r>
      <w:r>
        <w:rPr>
          <w:b w:val="0"/>
          <w:i w:val="0"/>
        </w:rPr>
        <w:t xml:space="preserve">excretion in urine, cRBC hemolysis, total C5, autoantibodies to complement proteins (eg, anti-factor H). </w:t>
      </w:r>
    </w:p>
    <w:p>
      <w:r>
        <w:rPr>
          <w:b w:val="0"/>
          <w:i/>
        </w:rPr>
        <w:t xml:space="preserve">Genetics:  </w:t>
      </w:r>
      <w:r>
        <w:rPr>
          <w:b w:val="0"/>
          <w:i w:val="0"/>
        </w:rPr>
        <w:t xml:space="preserve">Exploratory genetics may be performed for both Cohort 1 and Cohort 2 to investigate genetic variants in genes </w:t>
      </w:r>
      <w:r>
        <w:rPr>
          <w:b w:val="0"/>
          <w:i w:val="0"/>
        </w:rPr>
        <w:t xml:space="preserve">known to be associated with aHUS, as well as to identify novel genetic variants associated with aHUS, </w:t>
      </w:r>
      <w:r>
        <w:rPr>
          <w:b w:val="0"/>
          <w:i w:val="0"/>
        </w:rPr>
        <w:t xml:space="preserve">complement dysregulation, or metabolism or efficacy of ALXN1210. Patients (or legal guardian) may decline from </w:t>
      </w:r>
      <w:r>
        <w:rPr>
          <w:b w:val="0"/>
          <w:i w:val="0"/>
        </w:rPr>
        <w:t xml:space="preserve">providing a sample for exploratory genetics and still participate in the study. </w:t>
      </w:r>
    </w:p>
    <w:p>
      <w:r>
        <w:rPr>
          <w:b w:val="0"/>
          <w:i/>
        </w:rPr>
        <w:t xml:space="preserve">Extra-renal Signs or Symptoms of aHUS: </w:t>
      </w:r>
      <w:r>
        <w:rPr>
          <w:b w:val="0"/>
          <w:i w:val="0"/>
        </w:rPr>
        <w:t xml:space="preserve">Extra-renal signs or symptoms of aHUS will be summarized at baseline and each postbaseline assessment by </w:t>
      </w:r>
      <w:r>
        <w:rPr>
          <w:b w:val="0"/>
          <w:i w:val="0"/>
        </w:rPr>
        <w:t xml:space="preserve">presenting the number and proportion of patients with a specific symptom present. This analysis will be performed </w:t>
      </w:r>
      <w:r>
        <w:rPr>
          <w:b w:val="0"/>
          <w:i w:val="0"/>
        </w:rPr>
        <w:t xml:space="preserve">for both Cohort 1 and Cohort 2. </w:t>
      </w:r>
    </w:p>
    <w:p>
      <w:r>
        <w:rPr>
          <w:b w:val="0"/>
          <w:i w:val="0"/>
        </w:rPr>
        <w:t xml:space="preserve">Alexion Pharmaceuticals, Inc. </w:t>
      </w:r>
      <w:r>
        <w:rPr>
          <w:b w:val="0"/>
          <w:i w:val="0"/>
        </w:rPr>
        <w:t>Amendment 6 (Global) 16 Jul 2019</w:t>
      </w:r>
      <w:r>
        <w:rPr>
          <w:b w:val="0"/>
          <w:i w:val="0"/>
        </w:rPr>
        <w:t xml:space="preserve"> </w:t>
      </w:r>
    </w:p>
    <w:p>
      <w:r>
        <w:rPr>
          <w:b/>
        </w:rPr>
        <w:t>3.</w:t>
      </w:r>
    </w:p>
    <w:p>
      <w:r>
        <w:rPr>
          <w:b/>
        </w:rPr>
        <w:t>TABLE OF CONTENTS, LIST OF TABLES, AND LIST OF</w:t>
      </w:r>
    </w:p>
    <w:p>
      <w:r>
        <w:rPr>
          <w:b/>
        </w:rPr>
        <w:t>FIGURES</w:t>
      </w:r>
    </w:p>
    <w:p>
      <w:r>
        <w:rPr>
          <w:b/>
        </w:rPr>
        <w:t>TABLE OF CONTENTS</w:t>
      </w:r>
    </w:p>
    <w:p>
      <w:r>
        <w:rPr>
          <w:b w:val="0"/>
          <w:i w:val="0"/>
        </w:rPr>
        <w:t>1.</w:t>
      </w:r>
      <w:r>
        <w:rPr>
          <w:b w:val="0"/>
          <w:i w:val="0"/>
        </w:rPr>
        <w:t xml:space="preserve"> </w:t>
      </w:r>
      <w:r>
        <w:rPr>
          <w:b w:val="0"/>
          <w:i w:val="0"/>
        </w:rPr>
        <w:t>TITLE PAGE ................................................................................................................1</w:t>
      </w:r>
      <w:r>
        <w:rPr>
          <w:b w:val="0"/>
          <w:i w:val="0"/>
        </w:rPr>
        <w:t xml:space="preserve"> </w:t>
      </w:r>
      <w:r>
        <w:rPr>
          <w:b w:val="0"/>
          <w:i w:val="0"/>
        </w:rPr>
        <w:t>SPONSOR SIGNATURE PAGE ....................................................................................................3</w:t>
      </w:r>
      <w:r>
        <w:rPr>
          <w:b w:val="0"/>
          <w:i w:val="0"/>
        </w:rPr>
        <w:t xml:space="preserve"> </w:t>
      </w:r>
      <w:r>
        <w:rPr>
          <w:b w:val="0"/>
          <w:i w:val="0"/>
        </w:rPr>
        <w:t>INVESTIGATOR’S AGREEMENT ...............................................................................................4</w:t>
      </w:r>
      <w:r>
        <w:rPr>
          <w:b w:val="0"/>
          <w:i w:val="0"/>
        </w:rPr>
        <w:t xml:space="preserve"> </w:t>
      </w:r>
      <w:r>
        <w:rPr>
          <w:b w:val="0"/>
          <w:i w:val="0"/>
        </w:rPr>
        <w:t>STUDY CONTACT INFORMATION ...........................................................................................5</w:t>
      </w:r>
      <w:r>
        <w:rPr>
          <w:b w:val="0"/>
          <w:i w:val="0"/>
        </w:rPr>
        <w:t xml:space="preserve"> </w:t>
      </w:r>
      <w:r>
        <w:rPr>
          <w:b w:val="0"/>
          <w:i w:val="0"/>
        </w:rPr>
        <w:t>2.</w:t>
      </w:r>
      <w:r>
        <w:rPr>
          <w:b w:val="0"/>
          <w:i w:val="0"/>
        </w:rPr>
        <w:t xml:space="preserve"> </w:t>
      </w:r>
      <w:r>
        <w:rPr>
          <w:b w:val="0"/>
          <w:i w:val="0"/>
        </w:rPr>
        <w:t>SYNOPSIS ...................................................................................................................6</w:t>
      </w:r>
      <w:r>
        <w:rPr>
          <w:b w:val="0"/>
          <w:i w:val="0"/>
        </w:rPr>
        <w:t xml:space="preserve"> </w:t>
      </w:r>
      <w:r>
        <w:rPr>
          <w:b w:val="0"/>
          <w:i w:val="0"/>
        </w:rPr>
        <w:t>3.</w:t>
      </w:r>
      <w:r>
        <w:rPr>
          <w:b w:val="0"/>
          <w:i w:val="0"/>
        </w:rPr>
        <w:t xml:space="preserve"> </w:t>
      </w:r>
      <w:r>
        <w:rPr>
          <w:b w:val="0"/>
          <w:i w:val="0"/>
        </w:rPr>
        <w:t>TABLE OF CONTENTS, LIST OF TABLES, AND LIST OF FIGURES ...............16</w:t>
      </w:r>
      <w:r>
        <w:rPr>
          <w:b w:val="0"/>
          <w:i w:val="0"/>
        </w:rPr>
        <w:t xml:space="preserve"> </w:t>
      </w:r>
      <w:r>
        <w:rPr>
          <w:b w:val="0"/>
          <w:i w:val="0"/>
        </w:rPr>
        <w:t>TABLE OF CONTENTS ...............................................................................................................16</w:t>
      </w:r>
      <w:r>
        <w:rPr>
          <w:b w:val="0"/>
          <w:i w:val="0"/>
        </w:rPr>
        <w:t xml:space="preserve"> </w:t>
      </w:r>
      <w:r>
        <w:rPr>
          <w:b w:val="0"/>
          <w:i w:val="0"/>
        </w:rPr>
        <w:t>LIST OF TABLES .........................................................................................................................21</w:t>
      </w:r>
      <w:r>
        <w:rPr>
          <w:b w:val="0"/>
          <w:i w:val="0"/>
        </w:rPr>
        <w:t xml:space="preserve"> </w:t>
      </w:r>
      <w:r>
        <w:rPr>
          <w:b w:val="0"/>
          <w:i w:val="0"/>
        </w:rPr>
        <w:t>LIST OF FIGURES .......................................................................................................................21</w:t>
      </w:r>
      <w:r>
        <w:rPr>
          <w:b w:val="0"/>
          <w:i w:val="0"/>
        </w:rPr>
        <w:t xml:space="preserve"> </w:t>
      </w:r>
      <w:r>
        <w:rPr>
          <w:b w:val="0"/>
          <w:i w:val="0"/>
        </w:rPr>
        <w:t>4.</w:t>
      </w:r>
      <w:r>
        <w:rPr>
          <w:b w:val="0"/>
          <w:i w:val="0"/>
        </w:rPr>
        <w:t xml:space="preserve"> </w:t>
      </w:r>
      <w:r>
        <w:rPr>
          <w:b w:val="0"/>
          <w:i w:val="0"/>
        </w:rPr>
        <w:t>LIST OF ABBREVIATIONS AND DEFINITIONS OF TERMS .............................22</w:t>
      </w:r>
      <w:r>
        <w:rPr>
          <w:b w:val="0"/>
          <w:i w:val="0"/>
        </w:rPr>
        <w:t xml:space="preserve"> </w:t>
      </w:r>
      <w:r>
        <w:rPr>
          <w:b w:val="0"/>
          <w:i w:val="0"/>
        </w:rPr>
        <w:t>5.</w:t>
      </w:r>
      <w:r>
        <w:rPr>
          <w:b w:val="0"/>
          <w:i w:val="0"/>
        </w:rPr>
        <w:t xml:space="preserve"> </w:t>
      </w:r>
      <w:r>
        <w:rPr>
          <w:b w:val="0"/>
          <w:i w:val="0"/>
        </w:rPr>
        <w:t>INTRODUCTION ......................................................................................................24</w:t>
      </w:r>
      <w:r>
        <w:rPr>
          <w:b w:val="0"/>
          <w:i w:val="0"/>
        </w:rPr>
        <w:t xml:space="preserve"> </w:t>
      </w:r>
      <w:r>
        <w:rPr>
          <w:b w:val="0"/>
          <w:i w:val="0"/>
        </w:rPr>
        <w:t>5.1.</w:t>
      </w:r>
      <w:r>
        <w:rPr>
          <w:b w:val="0"/>
          <w:i w:val="0"/>
        </w:rPr>
        <w:t xml:space="preserve"> </w:t>
      </w:r>
      <w:r>
        <w:rPr>
          <w:b w:val="0"/>
          <w:i w:val="0"/>
        </w:rPr>
        <w:t>Benefits and Risks Assessment ..................................................................................25</w:t>
      </w:r>
      <w:r>
        <w:rPr>
          <w:b w:val="0"/>
          <w:i w:val="0"/>
        </w:rPr>
        <w:t xml:space="preserve"> </w:t>
      </w:r>
      <w:r>
        <w:rPr>
          <w:b w:val="0"/>
          <w:i w:val="0"/>
        </w:rPr>
        <w:t>5.1.1.</w:t>
      </w:r>
      <w:r>
        <w:rPr>
          <w:b w:val="0"/>
          <w:i w:val="0"/>
        </w:rPr>
        <w:t xml:space="preserve"> </w:t>
      </w:r>
      <w:r>
        <w:rPr>
          <w:b w:val="0"/>
          <w:i w:val="0"/>
        </w:rPr>
        <w:t>Potential Benefits ........................................................................................................25</w:t>
      </w:r>
      <w:r>
        <w:rPr>
          <w:b w:val="0"/>
          <w:i w:val="0"/>
        </w:rPr>
        <w:t xml:space="preserve"> </w:t>
      </w:r>
      <w:r>
        <w:rPr>
          <w:b w:val="0"/>
          <w:i w:val="0"/>
        </w:rPr>
        <w:t>5.1.2.</w:t>
      </w:r>
      <w:r>
        <w:rPr>
          <w:b w:val="0"/>
          <w:i w:val="0"/>
        </w:rPr>
        <w:t xml:space="preserve"> </w:t>
      </w:r>
      <w:r>
        <w:rPr>
          <w:b w:val="0"/>
          <w:i w:val="0"/>
        </w:rPr>
        <w:t>Identified and Potential Risks .....................................................................................25</w:t>
      </w:r>
      <w:r>
        <w:rPr>
          <w:b w:val="0"/>
          <w:i w:val="0"/>
        </w:rPr>
        <w:t xml:space="preserve"> </w:t>
      </w:r>
      <w:r>
        <w:rPr>
          <w:b w:val="0"/>
          <w:i w:val="0"/>
        </w:rPr>
        <w:t>5.1.2.1.</w:t>
      </w:r>
      <w:r>
        <w:rPr>
          <w:b w:val="0"/>
          <w:i w:val="0"/>
        </w:rPr>
        <w:t xml:space="preserve"> </w:t>
      </w:r>
      <w:r>
        <w:rPr>
          <w:b w:val="0"/>
          <w:i w:val="0"/>
        </w:rPr>
        <w:t>Meningococcal Infection ............................................................................................25</w:t>
      </w:r>
      <w:r>
        <w:rPr>
          <w:b w:val="0"/>
          <w:i w:val="0"/>
        </w:rPr>
        <w:t xml:space="preserve"> </w:t>
      </w:r>
      <w:r>
        <w:rPr>
          <w:b w:val="0"/>
          <w:i w:val="0"/>
        </w:rPr>
        <w:t>5.1.2.2.</w:t>
      </w:r>
      <w:r>
        <w:rPr>
          <w:b w:val="0"/>
          <w:i w:val="0"/>
        </w:rPr>
        <w:t xml:space="preserve"> </w:t>
      </w:r>
      <w:r>
        <w:rPr>
          <w:b w:val="0"/>
          <w:i w:val="0"/>
        </w:rPr>
        <w:t>Immunogenicity ..........................................................................................................25</w:t>
      </w:r>
      <w:r>
        <w:rPr>
          <w:b w:val="0"/>
          <w:i w:val="0"/>
        </w:rPr>
        <w:t xml:space="preserve"> </w:t>
      </w:r>
      <w:r>
        <w:rPr>
          <w:b w:val="0"/>
          <w:i w:val="0"/>
        </w:rPr>
        <w:t>5.1.2.3.</w:t>
      </w:r>
      <w:r>
        <w:rPr>
          <w:b w:val="0"/>
          <w:i w:val="0"/>
        </w:rPr>
        <w:t xml:space="preserve"> </w:t>
      </w:r>
      <w:r>
        <w:rPr>
          <w:b w:val="0"/>
          <w:i w:val="0"/>
        </w:rPr>
        <w:t>Pregnancy Exposure ...................................................................................................26</w:t>
      </w:r>
      <w:r>
        <w:rPr>
          <w:b w:val="0"/>
          <w:i w:val="0"/>
        </w:rPr>
        <w:t xml:space="preserve"> </w:t>
      </w:r>
      <w:r>
        <w:rPr>
          <w:b w:val="0"/>
          <w:i w:val="0"/>
        </w:rPr>
        <w:t>6.</w:t>
      </w:r>
      <w:r>
        <w:rPr>
          <w:b w:val="0"/>
          <w:i w:val="0"/>
        </w:rPr>
        <w:t xml:space="preserve"> </w:t>
      </w:r>
      <w:r>
        <w:rPr>
          <w:b w:val="0"/>
          <w:i w:val="0"/>
        </w:rPr>
        <w:t>STUDY OBJECTIVES AND ENDPOINTS ..............................................................27</w:t>
      </w:r>
      <w:r>
        <w:rPr>
          <w:b w:val="0"/>
          <w:i w:val="0"/>
        </w:rPr>
        <w:t xml:space="preserve"> </w:t>
      </w:r>
      <w:r>
        <w:rPr>
          <w:b w:val="0"/>
          <w:i w:val="0"/>
        </w:rPr>
        <w:t>6.1.</w:t>
      </w:r>
      <w:r>
        <w:rPr>
          <w:b w:val="0"/>
          <w:i w:val="0"/>
        </w:rPr>
        <w:t xml:space="preserve"> </w:t>
      </w:r>
      <w:r>
        <w:rPr>
          <w:b w:val="0"/>
          <w:i w:val="0"/>
        </w:rPr>
        <w:t>Study Objectives .........................................................................................................27</w:t>
      </w:r>
      <w:r>
        <w:rPr>
          <w:b w:val="0"/>
          <w:i w:val="0"/>
        </w:rPr>
        <w:t xml:space="preserve"> </w:t>
      </w:r>
      <w:r>
        <w:rPr>
          <w:b w:val="0"/>
          <w:i w:val="0"/>
        </w:rPr>
        <w:t>6.1.1.</w:t>
      </w:r>
      <w:r>
        <w:rPr>
          <w:b w:val="0"/>
          <w:i w:val="0"/>
        </w:rPr>
        <w:t xml:space="preserve"> </w:t>
      </w:r>
      <w:r>
        <w:rPr>
          <w:b w:val="0"/>
          <w:i w:val="0"/>
        </w:rPr>
        <w:t>Primary Objective .......................................................................................................27</w:t>
      </w:r>
      <w:r>
        <w:rPr>
          <w:b w:val="0"/>
          <w:i w:val="0"/>
        </w:rPr>
        <w:t xml:space="preserve"> </w:t>
      </w:r>
      <w:r>
        <w:rPr>
          <w:b w:val="0"/>
          <w:i w:val="0"/>
        </w:rPr>
        <w:t>6.1.2.</w:t>
      </w:r>
      <w:r>
        <w:rPr>
          <w:b w:val="0"/>
          <w:i w:val="0"/>
        </w:rPr>
        <w:t xml:space="preserve"> </w:t>
      </w:r>
      <w:r>
        <w:rPr>
          <w:b w:val="0"/>
          <w:i w:val="0"/>
        </w:rPr>
        <w:t>Secondary Objectives .................................................................................................27</w:t>
      </w:r>
      <w:r>
        <w:rPr>
          <w:b w:val="0"/>
          <w:i w:val="0"/>
        </w:rPr>
        <w:t xml:space="preserve"> </w:t>
      </w:r>
      <w:r>
        <w:rPr>
          <w:b w:val="0"/>
          <w:i w:val="0"/>
        </w:rPr>
        <w:t>6.2.</w:t>
      </w:r>
      <w:r>
        <w:rPr>
          <w:b w:val="0"/>
          <w:i w:val="0"/>
        </w:rPr>
        <w:t xml:space="preserve"> </w:t>
      </w:r>
      <w:r>
        <w:rPr>
          <w:b w:val="0"/>
          <w:i w:val="0"/>
        </w:rPr>
        <w:t>Endpoints ....................................................................................................................28</w:t>
      </w:r>
      <w:r>
        <w:rPr>
          <w:b w:val="0"/>
          <w:i w:val="0"/>
        </w:rPr>
        <w:t xml:space="preserve"> </w:t>
      </w:r>
      <w:r>
        <w:rPr>
          <w:b w:val="0"/>
          <w:i w:val="0"/>
        </w:rPr>
        <w:t>6.2.1.</w:t>
      </w:r>
      <w:r>
        <w:rPr>
          <w:b w:val="0"/>
          <w:i w:val="0"/>
        </w:rPr>
        <w:t xml:space="preserve"> </w:t>
      </w:r>
      <w:r>
        <w:rPr>
          <w:b w:val="0"/>
          <w:i w:val="0"/>
        </w:rPr>
        <w:t>Primary Efficacy Endpoint .........................................................................................28</w:t>
      </w:r>
      <w:r>
        <w:rPr>
          <w:b w:val="0"/>
          <w:i w:val="0"/>
        </w:rPr>
        <w:t xml:space="preserve"> </w:t>
      </w:r>
      <w:r>
        <w:rPr>
          <w:b w:val="0"/>
          <w:i w:val="0"/>
        </w:rPr>
        <w:t>6.2.2.</w:t>
      </w:r>
      <w:r>
        <w:rPr>
          <w:b w:val="0"/>
          <w:i w:val="0"/>
        </w:rPr>
        <w:t xml:space="preserve"> </w:t>
      </w:r>
      <w:r>
        <w:rPr>
          <w:b w:val="0"/>
          <w:i w:val="0"/>
        </w:rPr>
        <w:t>Secondary Efficacy Endpoints ....................................................................................28</w:t>
      </w:r>
      <w:r>
        <w:rPr>
          <w:b w:val="0"/>
          <w:i w:val="0"/>
        </w:rPr>
        <w:t xml:space="preserve"> </w:t>
      </w:r>
      <w:r>
        <w:rPr>
          <w:b w:val="0"/>
          <w:i w:val="0"/>
        </w:rPr>
        <w:t>6.2.3.</w:t>
      </w:r>
      <w:r>
        <w:rPr>
          <w:b w:val="0"/>
          <w:i w:val="0"/>
        </w:rPr>
        <w:t xml:space="preserve"> </w:t>
      </w:r>
      <w:r>
        <w:rPr>
          <w:b w:val="0"/>
          <w:i w:val="0"/>
        </w:rPr>
        <w:t>Pharmacokinetic and Pharmacodynamic Endpoints ...................................................29</w:t>
      </w:r>
      <w:r>
        <w:rPr>
          <w:b w:val="0"/>
          <w:i w:val="0"/>
        </w:rPr>
        <w:t xml:space="preserve"> </w:t>
      </w:r>
      <w:r>
        <w:rPr>
          <w:b w:val="0"/>
          <w:i w:val="0"/>
        </w:rPr>
        <w:t>6.2.4.</w:t>
      </w:r>
      <w:r>
        <w:rPr>
          <w:b w:val="0"/>
          <w:i w:val="0"/>
        </w:rPr>
        <w:t xml:space="preserve"> </w:t>
      </w:r>
      <w:r>
        <w:rPr>
          <w:b w:val="0"/>
          <w:i w:val="0"/>
        </w:rPr>
        <w:t>Safety Endpoints .........................................................................................................29</w:t>
      </w:r>
      <w:r>
        <w:rPr>
          <w:b w:val="0"/>
          <w:i w:val="0"/>
        </w:rPr>
        <w:t xml:space="preserve"> </w:t>
      </w:r>
      <w:r>
        <w:rPr>
          <w:b w:val="0"/>
          <w:i w:val="0"/>
        </w:rPr>
        <w:t>6.2.5.</w:t>
      </w:r>
      <w:r>
        <w:rPr>
          <w:b w:val="0"/>
          <w:i w:val="0"/>
        </w:rPr>
        <w:t xml:space="preserve"> </w:t>
      </w:r>
      <w:r>
        <w:rPr>
          <w:b w:val="0"/>
          <w:i w:val="0"/>
        </w:rPr>
        <w:t>Exploratory Endpoints ................................................................................................29</w:t>
      </w:r>
      <w:r>
        <w:rPr>
          <w:b w:val="0"/>
          <w:i w:val="0"/>
        </w:rPr>
        <w:t xml:space="preserve"> </w:t>
      </w:r>
      <w:r>
        <w:rPr>
          <w:b w:val="0"/>
          <w:i w:val="0"/>
        </w:rPr>
        <w:t>6.2.5.1.</w:t>
      </w:r>
      <w:r>
        <w:rPr>
          <w:b w:val="0"/>
          <w:i w:val="0"/>
        </w:rPr>
        <w:t xml:space="preserve"> </w:t>
      </w:r>
      <w:r>
        <w:rPr>
          <w:b w:val="0"/>
          <w:i w:val="0"/>
        </w:rPr>
        <w:t>Biomarkers ..................................................................................................................29</w:t>
      </w:r>
      <w:r>
        <w:rPr>
          <w:b w:val="0"/>
          <w:i w:val="0"/>
        </w:rPr>
        <w:t xml:space="preserve"> </w:t>
      </w:r>
      <w:r>
        <w:rPr>
          <w:b w:val="0"/>
          <w:i w:val="0"/>
        </w:rPr>
        <w:t>6.2.5.2.</w:t>
      </w:r>
      <w:r>
        <w:rPr>
          <w:b w:val="0"/>
          <w:i w:val="0"/>
        </w:rPr>
        <w:t xml:space="preserve"> </w:t>
      </w:r>
      <w:r>
        <w:rPr>
          <w:b w:val="0"/>
          <w:i w:val="0"/>
        </w:rPr>
        <w:t>Genetics Endpoints .....................................................................................................30</w:t>
      </w:r>
      <w:r>
        <w:rPr>
          <w:b w:val="0"/>
          <w:i w:val="0"/>
        </w:rPr>
        <w:t xml:space="preserve"> </w:t>
      </w:r>
      <w:r>
        <w:rPr>
          <w:b w:val="0"/>
          <w:i w:val="0"/>
        </w:rPr>
        <w:t xml:space="preserve">Alexion Pharmaceuticals, Inc. </w:t>
      </w:r>
      <w:r>
        <w:rPr>
          <w:b w:val="0"/>
          <w:i w:val="0"/>
        </w:rPr>
        <w:t>Amendment 6 (Global) 16 Jul 2019</w:t>
      </w:r>
      <w:r>
        <w:rPr>
          <w:b w:val="0"/>
          <w:i w:val="0"/>
        </w:rPr>
        <w:t xml:space="preserve"> </w:t>
      </w:r>
    </w:p>
    <w:p>
      <w:r>
        <w:rPr>
          <w:b w:val="0"/>
          <w:i w:val="0"/>
        </w:rPr>
        <w:t>6.2.5.3.</w:t>
      </w:r>
      <w:r>
        <w:rPr>
          <w:b w:val="0"/>
          <w:i w:val="0"/>
        </w:rPr>
        <w:t xml:space="preserve"> </w:t>
      </w:r>
      <w:r>
        <w:rPr>
          <w:b w:val="0"/>
          <w:i w:val="0"/>
        </w:rPr>
        <w:t>Extra-renal Signs or Symptoms of aHUS ...................................................................30</w:t>
      </w:r>
      <w:r>
        <w:rPr>
          <w:b w:val="0"/>
          <w:i w:val="0"/>
        </w:rPr>
        <w:t xml:space="preserve"> </w:t>
      </w:r>
      <w:r>
        <w:rPr>
          <w:b w:val="0"/>
          <w:i w:val="0"/>
        </w:rPr>
        <w:t>7.</w:t>
      </w:r>
      <w:r>
        <w:rPr>
          <w:b w:val="0"/>
          <w:i w:val="0"/>
        </w:rPr>
        <w:t xml:space="preserve"> </w:t>
      </w:r>
      <w:r>
        <w:rPr>
          <w:b w:val="0"/>
          <w:i w:val="0"/>
        </w:rPr>
        <w:t>INVESTIGATIONAL PLAN .....................................................................................31</w:t>
      </w:r>
      <w:r>
        <w:rPr>
          <w:b w:val="0"/>
          <w:i w:val="0"/>
        </w:rPr>
        <w:t xml:space="preserve"> </w:t>
      </w:r>
      <w:r>
        <w:rPr>
          <w:b w:val="0"/>
          <w:i w:val="0"/>
        </w:rPr>
        <w:t>7.1.</w:t>
      </w:r>
      <w:r>
        <w:rPr>
          <w:b w:val="0"/>
          <w:i w:val="0"/>
        </w:rPr>
        <w:t xml:space="preserve"> </w:t>
      </w:r>
      <w:r>
        <w:rPr>
          <w:b w:val="0"/>
          <w:i w:val="0"/>
        </w:rPr>
        <w:t>Summary of Study Design ..........................................................................................31</w:t>
      </w:r>
      <w:r>
        <w:rPr>
          <w:b w:val="0"/>
          <w:i w:val="0"/>
        </w:rPr>
        <w:t xml:space="preserve"> </w:t>
      </w:r>
      <w:r>
        <w:rPr>
          <w:b w:val="0"/>
          <w:i w:val="0"/>
        </w:rPr>
        <w:t>7.2.</w:t>
      </w:r>
      <w:r>
        <w:rPr>
          <w:b w:val="0"/>
          <w:i w:val="0"/>
        </w:rPr>
        <w:t xml:space="preserve"> </w:t>
      </w:r>
      <w:r>
        <w:rPr>
          <w:b w:val="0"/>
          <w:i w:val="0"/>
        </w:rPr>
        <w:t>Discussion of Design ..................................................................................................32</w:t>
      </w:r>
      <w:r>
        <w:rPr>
          <w:b w:val="0"/>
          <w:i w:val="0"/>
        </w:rPr>
        <w:t xml:space="preserve"> </w:t>
      </w:r>
      <w:r>
        <w:rPr>
          <w:b w:val="0"/>
          <w:i w:val="0"/>
        </w:rPr>
        <w:t>7.3.</w:t>
      </w:r>
      <w:r>
        <w:rPr>
          <w:b w:val="0"/>
          <w:i w:val="0"/>
        </w:rPr>
        <w:t xml:space="preserve"> </w:t>
      </w:r>
      <w:r>
        <w:rPr>
          <w:b w:val="0"/>
          <w:i w:val="0"/>
        </w:rPr>
        <w:t>Schedule of Assessments ............................................................................................32</w:t>
      </w:r>
      <w:r>
        <w:rPr>
          <w:b w:val="0"/>
          <w:i w:val="0"/>
        </w:rPr>
        <w:t xml:space="preserve"> </w:t>
      </w:r>
      <w:r>
        <w:rPr>
          <w:b w:val="0"/>
          <w:i w:val="0"/>
        </w:rPr>
        <w:t>8.</w:t>
      </w:r>
      <w:r>
        <w:rPr>
          <w:b w:val="0"/>
          <w:i w:val="0"/>
        </w:rPr>
        <w:t xml:space="preserve"> </w:t>
      </w:r>
      <w:r>
        <w:rPr>
          <w:b w:val="0"/>
          <w:i w:val="0"/>
        </w:rPr>
        <w:t>STUDY POPULATION .............................................................................................46</w:t>
      </w:r>
      <w:r>
        <w:rPr>
          <w:b w:val="0"/>
          <w:i w:val="0"/>
        </w:rPr>
        <w:t xml:space="preserve"> </w:t>
      </w:r>
      <w:r>
        <w:rPr>
          <w:b w:val="0"/>
          <w:i w:val="0"/>
        </w:rPr>
        <w:t>8.1.</w:t>
      </w:r>
      <w:r>
        <w:rPr>
          <w:b w:val="0"/>
          <w:i w:val="0"/>
        </w:rPr>
        <w:t xml:space="preserve"> </w:t>
      </w:r>
      <w:r>
        <w:rPr>
          <w:b w:val="0"/>
          <w:i w:val="0"/>
        </w:rPr>
        <w:t>Inclusion Criteria ........................................................................................................46</w:t>
      </w:r>
      <w:r>
        <w:rPr>
          <w:b w:val="0"/>
          <w:i w:val="0"/>
        </w:rPr>
        <w:t xml:space="preserve"> </w:t>
      </w:r>
      <w:r>
        <w:rPr>
          <w:b w:val="0"/>
          <w:i w:val="0"/>
        </w:rPr>
        <w:t>8.2.</w:t>
      </w:r>
      <w:r>
        <w:rPr>
          <w:b w:val="0"/>
          <w:i w:val="0"/>
        </w:rPr>
        <w:t xml:space="preserve"> </w:t>
      </w:r>
      <w:r>
        <w:rPr>
          <w:b w:val="0"/>
          <w:i w:val="0"/>
        </w:rPr>
        <w:t>Exclusion Criteria .......................................................................................................48</w:t>
      </w:r>
      <w:r>
        <w:rPr>
          <w:b w:val="0"/>
          <w:i w:val="0"/>
        </w:rPr>
        <w:t xml:space="preserve"> </w:t>
      </w:r>
      <w:r>
        <w:rPr>
          <w:b w:val="0"/>
          <w:i w:val="0"/>
        </w:rPr>
        <w:t>8.3.</w:t>
      </w:r>
      <w:r>
        <w:rPr>
          <w:b w:val="0"/>
          <w:i w:val="0"/>
        </w:rPr>
        <w:t xml:space="preserve"> </w:t>
      </w:r>
      <w:r>
        <w:rPr>
          <w:b w:val="0"/>
          <w:i w:val="0"/>
        </w:rPr>
        <w:t>Discontinuation ...........................................................................................................50</w:t>
      </w:r>
      <w:r>
        <w:rPr>
          <w:b w:val="0"/>
          <w:i w:val="0"/>
        </w:rPr>
        <w:t xml:space="preserve"> </w:t>
      </w:r>
      <w:r>
        <w:rPr>
          <w:b w:val="0"/>
          <w:i w:val="0"/>
        </w:rPr>
        <w:t>8.3.1.</w:t>
      </w:r>
      <w:r>
        <w:rPr>
          <w:b w:val="0"/>
          <w:i w:val="0"/>
        </w:rPr>
        <w:t xml:space="preserve"> </w:t>
      </w:r>
      <w:r>
        <w:rPr>
          <w:b w:val="0"/>
          <w:i w:val="0"/>
        </w:rPr>
        <w:t>Early Termination of Patients From the Study ...........................................................50</w:t>
      </w:r>
      <w:r>
        <w:rPr>
          <w:b w:val="0"/>
          <w:i w:val="0"/>
        </w:rPr>
        <w:t xml:space="preserve"> </w:t>
      </w:r>
      <w:r>
        <w:rPr>
          <w:b w:val="0"/>
          <w:i w:val="0"/>
        </w:rPr>
        <w:t>8.3.2.</w:t>
      </w:r>
      <w:r>
        <w:rPr>
          <w:b w:val="0"/>
          <w:i w:val="0"/>
        </w:rPr>
        <w:t xml:space="preserve"> </w:t>
      </w:r>
      <w:r>
        <w:rPr>
          <w:b w:val="0"/>
          <w:i w:val="0"/>
        </w:rPr>
        <w:t xml:space="preserve">Discontinuation of ALXN1210 Treatment in the Extension Period and </w:t>
      </w:r>
      <w:r>
        <w:rPr>
          <w:b w:val="0"/>
          <w:i w:val="0"/>
        </w:rPr>
        <w:t>Continuation in the Study ...........................................................................................51</w:t>
      </w:r>
      <w:r>
        <w:rPr>
          <w:b w:val="0"/>
          <w:i w:val="0"/>
        </w:rPr>
        <w:t xml:space="preserve"> </w:t>
      </w:r>
      <w:r>
        <w:rPr>
          <w:b w:val="0"/>
          <w:i w:val="0"/>
        </w:rPr>
        <w:t>8.3.2.1.</w:t>
      </w:r>
      <w:r>
        <w:rPr>
          <w:b w:val="0"/>
          <w:i w:val="0"/>
        </w:rPr>
        <w:t xml:space="preserve"> </w:t>
      </w:r>
      <w:r>
        <w:rPr>
          <w:b w:val="0"/>
          <w:i w:val="0"/>
        </w:rPr>
        <w:t xml:space="preserve">Retreatment of Patients Who Discontinue ALXN1210 Treatment in the </w:t>
      </w:r>
      <w:r>
        <w:rPr>
          <w:b w:val="0"/>
          <w:i w:val="0"/>
        </w:rPr>
        <w:t>Extension Period .........................................................................................................51</w:t>
      </w:r>
      <w:r>
        <w:rPr>
          <w:b w:val="0"/>
          <w:i w:val="0"/>
        </w:rPr>
        <w:t xml:space="preserve"> </w:t>
      </w:r>
      <w:r>
        <w:rPr>
          <w:b w:val="0"/>
          <w:i w:val="0"/>
        </w:rPr>
        <w:t>8.3.3.</w:t>
      </w:r>
      <w:r>
        <w:rPr>
          <w:b w:val="0"/>
          <w:i w:val="0"/>
        </w:rPr>
        <w:t xml:space="preserve"> </w:t>
      </w:r>
      <w:r>
        <w:rPr>
          <w:b w:val="0"/>
          <w:i w:val="0"/>
        </w:rPr>
        <w:t xml:space="preserve">Discontinuation of Study/Site Termination </w:t>
      </w:r>
      <w:r>
        <w:rPr>
          <w:b w:val="0"/>
          <w:i w:val="0"/>
        </w:rPr>
        <w:t>by Sponsor or Health Authority ............53</w:t>
      </w:r>
      <w:r>
        <w:rPr>
          <w:b w:val="0"/>
          <w:i w:val="0"/>
        </w:rPr>
        <w:t xml:space="preserve"> </w:t>
      </w:r>
      <w:r>
        <w:rPr>
          <w:b w:val="0"/>
          <w:i w:val="0"/>
        </w:rPr>
        <w:t>8.3.4.</w:t>
      </w:r>
      <w:r>
        <w:rPr>
          <w:b w:val="0"/>
          <w:i w:val="0"/>
        </w:rPr>
        <w:t xml:space="preserve"> </w:t>
      </w:r>
      <w:r>
        <w:rPr>
          <w:b w:val="0"/>
          <w:i w:val="0"/>
        </w:rPr>
        <w:t>Replacements ..............................................................................................................53</w:t>
      </w:r>
      <w:r>
        <w:rPr>
          <w:b w:val="0"/>
          <w:i w:val="0"/>
        </w:rPr>
        <w:t xml:space="preserve"> </w:t>
      </w:r>
      <w:r>
        <w:rPr>
          <w:b w:val="0"/>
          <w:i w:val="0"/>
        </w:rPr>
        <w:t>8.3.5.</w:t>
      </w:r>
      <w:r>
        <w:rPr>
          <w:b w:val="0"/>
          <w:i w:val="0"/>
        </w:rPr>
        <w:t xml:space="preserve"> </w:t>
      </w:r>
      <w:r>
        <w:rPr>
          <w:b w:val="0"/>
          <w:i w:val="0"/>
        </w:rPr>
        <w:t>End of Study Definition ..............................................................................................54</w:t>
      </w:r>
      <w:r>
        <w:rPr>
          <w:b w:val="0"/>
          <w:i w:val="0"/>
        </w:rPr>
        <w:t xml:space="preserve"> </w:t>
      </w:r>
      <w:r>
        <w:rPr>
          <w:b w:val="0"/>
          <w:i w:val="0"/>
        </w:rPr>
        <w:t>9.</w:t>
      </w:r>
      <w:r>
        <w:rPr>
          <w:b w:val="0"/>
          <w:i w:val="0"/>
        </w:rPr>
        <w:t xml:space="preserve"> </w:t>
      </w:r>
      <w:r>
        <w:rPr>
          <w:b w:val="0"/>
          <w:i w:val="0"/>
        </w:rPr>
        <w:t>STUDY TREATMENT ..............................................................................................55</w:t>
      </w:r>
      <w:r>
        <w:rPr>
          <w:b w:val="0"/>
          <w:i w:val="0"/>
        </w:rPr>
        <w:t xml:space="preserve"> </w:t>
      </w:r>
      <w:r>
        <w:rPr>
          <w:b w:val="0"/>
          <w:i w:val="0"/>
        </w:rPr>
        <w:t>9.1.</w:t>
      </w:r>
      <w:r>
        <w:rPr>
          <w:b w:val="0"/>
          <w:i w:val="0"/>
        </w:rPr>
        <w:t xml:space="preserve"> </w:t>
      </w:r>
      <w:r>
        <w:rPr>
          <w:b w:val="0"/>
          <w:i w:val="0"/>
        </w:rPr>
        <w:t>Materials and Supplies ................................................................................................55</w:t>
      </w:r>
      <w:r>
        <w:rPr>
          <w:b w:val="0"/>
          <w:i w:val="0"/>
        </w:rPr>
        <w:t xml:space="preserve"> </w:t>
      </w:r>
      <w:r>
        <w:rPr>
          <w:b w:val="0"/>
          <w:i w:val="0"/>
        </w:rPr>
        <w:t>9.1.1.</w:t>
      </w:r>
      <w:r>
        <w:rPr>
          <w:b w:val="0"/>
          <w:i w:val="0"/>
        </w:rPr>
        <w:t xml:space="preserve"> </w:t>
      </w:r>
      <w:r>
        <w:rPr>
          <w:b w:val="0"/>
          <w:i w:val="0"/>
        </w:rPr>
        <w:t>Description of Study Drugs ........................................................................................55</w:t>
      </w:r>
      <w:r>
        <w:rPr>
          <w:b w:val="0"/>
          <w:i w:val="0"/>
        </w:rPr>
        <w:t xml:space="preserve"> </w:t>
      </w:r>
      <w:r>
        <w:rPr>
          <w:b w:val="0"/>
          <w:i w:val="0"/>
        </w:rPr>
        <w:t>9.1.2.</w:t>
      </w:r>
      <w:r>
        <w:rPr>
          <w:b w:val="0"/>
          <w:i w:val="0"/>
        </w:rPr>
        <w:t xml:space="preserve"> </w:t>
      </w:r>
      <w:r>
        <w:rPr>
          <w:b w:val="0"/>
          <w:i w:val="0"/>
        </w:rPr>
        <w:t>Study Drug Packaging and Labeling ..........................................................................55</w:t>
      </w:r>
      <w:r>
        <w:rPr>
          <w:b w:val="0"/>
          <w:i w:val="0"/>
        </w:rPr>
        <w:t xml:space="preserve"> </w:t>
      </w:r>
      <w:r>
        <w:rPr>
          <w:b w:val="0"/>
          <w:i w:val="0"/>
        </w:rPr>
        <w:t>9.1.3.</w:t>
      </w:r>
      <w:r>
        <w:rPr>
          <w:b w:val="0"/>
          <w:i w:val="0"/>
        </w:rPr>
        <w:t xml:space="preserve"> </w:t>
      </w:r>
      <w:r>
        <w:rPr>
          <w:b w:val="0"/>
          <w:i w:val="0"/>
        </w:rPr>
        <w:t>Study Drug Storage .....................................................................................................55</w:t>
      </w:r>
      <w:r>
        <w:rPr>
          <w:b w:val="0"/>
          <w:i w:val="0"/>
        </w:rPr>
        <w:t xml:space="preserve"> </w:t>
      </w:r>
      <w:r>
        <w:rPr>
          <w:b w:val="0"/>
          <w:i w:val="0"/>
        </w:rPr>
        <w:t>9.1.4.</w:t>
      </w:r>
      <w:r>
        <w:rPr>
          <w:b w:val="0"/>
          <w:i w:val="0"/>
        </w:rPr>
        <w:t xml:space="preserve"> </w:t>
      </w:r>
      <w:r>
        <w:rPr>
          <w:b w:val="0"/>
          <w:i w:val="0"/>
        </w:rPr>
        <w:t>Study Drug Preparation and Infusion .........................................................................56</w:t>
      </w:r>
      <w:r>
        <w:rPr>
          <w:b w:val="0"/>
          <w:i w:val="0"/>
        </w:rPr>
        <w:t xml:space="preserve"> </w:t>
      </w:r>
      <w:r>
        <w:rPr>
          <w:b w:val="0"/>
          <w:i w:val="0"/>
        </w:rPr>
        <w:t>9.1.5.</w:t>
      </w:r>
      <w:r>
        <w:rPr>
          <w:b w:val="0"/>
          <w:i w:val="0"/>
        </w:rPr>
        <w:t xml:space="preserve"> </w:t>
      </w:r>
      <w:r>
        <w:rPr>
          <w:b w:val="0"/>
          <w:i w:val="0"/>
        </w:rPr>
        <w:t>Study Drug Handling and Disposal ............................................................................56</w:t>
      </w:r>
      <w:r>
        <w:rPr>
          <w:b w:val="0"/>
          <w:i w:val="0"/>
        </w:rPr>
        <w:t xml:space="preserve"> </w:t>
      </w:r>
      <w:r>
        <w:rPr>
          <w:b w:val="0"/>
          <w:i w:val="0"/>
        </w:rPr>
        <w:t>9.2.</w:t>
      </w:r>
      <w:r>
        <w:rPr>
          <w:b w:val="0"/>
          <w:i w:val="0"/>
        </w:rPr>
        <w:t xml:space="preserve"> </w:t>
      </w:r>
      <w:r>
        <w:rPr>
          <w:b w:val="0"/>
          <w:i w:val="0"/>
        </w:rPr>
        <w:t>Treatments Administered ............................................................................................57</w:t>
      </w:r>
      <w:r>
        <w:rPr>
          <w:b w:val="0"/>
          <w:i w:val="0"/>
        </w:rPr>
        <w:t xml:space="preserve"> </w:t>
      </w:r>
      <w:r>
        <w:rPr>
          <w:b w:val="0"/>
          <w:i w:val="0"/>
        </w:rPr>
        <w:t>9.3.</w:t>
      </w:r>
      <w:r>
        <w:rPr>
          <w:b w:val="0"/>
          <w:i w:val="0"/>
        </w:rPr>
        <w:t xml:space="preserve"> </w:t>
      </w:r>
      <w:r>
        <w:rPr>
          <w:b w:val="0"/>
          <w:i w:val="0"/>
        </w:rPr>
        <w:t>Method of Assignment to Treatment ..........................................................................58</w:t>
      </w:r>
      <w:r>
        <w:rPr>
          <w:b w:val="0"/>
          <w:i w:val="0"/>
        </w:rPr>
        <w:t xml:space="preserve"> </w:t>
      </w:r>
      <w:r>
        <w:rPr>
          <w:b w:val="0"/>
          <w:i w:val="0"/>
        </w:rPr>
        <w:t>9.4.</w:t>
      </w:r>
      <w:r>
        <w:rPr>
          <w:b w:val="0"/>
          <w:i w:val="0"/>
        </w:rPr>
        <w:t xml:space="preserve"> </w:t>
      </w:r>
      <w:r>
        <w:rPr>
          <w:b w:val="0"/>
          <w:i w:val="0"/>
        </w:rPr>
        <w:t>Rationale for Selection of Doses in the Study ............................................................59</w:t>
      </w:r>
      <w:r>
        <w:rPr>
          <w:b w:val="0"/>
          <w:i w:val="0"/>
        </w:rPr>
        <w:t xml:space="preserve"> </w:t>
      </w:r>
      <w:r>
        <w:rPr>
          <w:b w:val="0"/>
          <w:i w:val="0"/>
        </w:rPr>
        <w:t>9.5.</w:t>
      </w:r>
      <w:r>
        <w:rPr>
          <w:b w:val="0"/>
          <w:i w:val="0"/>
        </w:rPr>
        <w:t xml:space="preserve"> </w:t>
      </w:r>
      <w:r>
        <w:rPr>
          <w:b w:val="0"/>
          <w:i w:val="0"/>
        </w:rPr>
        <w:t>Special Treatment Considerations ..............................................................................59</w:t>
      </w:r>
      <w:r>
        <w:rPr>
          <w:b w:val="0"/>
          <w:i w:val="0"/>
        </w:rPr>
        <w:t xml:space="preserve"> </w:t>
      </w:r>
      <w:r>
        <w:rPr>
          <w:b w:val="0"/>
          <w:i w:val="0"/>
        </w:rPr>
        <w:t>9.6.</w:t>
      </w:r>
      <w:r>
        <w:rPr>
          <w:b w:val="0"/>
          <w:i w:val="0"/>
        </w:rPr>
        <w:t xml:space="preserve"> </w:t>
      </w:r>
      <w:r>
        <w:rPr>
          <w:b w:val="0"/>
          <w:i w:val="0"/>
        </w:rPr>
        <w:t>Prior and Concomitant Medications and Nonpharmacologic Procedures ..................59</w:t>
      </w:r>
      <w:r>
        <w:rPr>
          <w:b w:val="0"/>
          <w:i w:val="0"/>
        </w:rPr>
        <w:t xml:space="preserve"> </w:t>
      </w:r>
      <w:r>
        <w:rPr>
          <w:b w:val="0"/>
          <w:i w:val="0"/>
        </w:rPr>
        <w:t>9.7.</w:t>
      </w:r>
      <w:r>
        <w:rPr>
          <w:b w:val="0"/>
          <w:i w:val="0"/>
        </w:rPr>
        <w:t xml:space="preserve"> </w:t>
      </w:r>
      <w:r>
        <w:rPr>
          <w:b w:val="0"/>
          <w:i w:val="0"/>
        </w:rPr>
        <w:t>Prohibited Medications and Procedures .....................................................................60</w:t>
      </w:r>
      <w:r>
        <w:rPr>
          <w:b w:val="0"/>
          <w:i w:val="0"/>
        </w:rPr>
        <w:t xml:space="preserve"> </w:t>
      </w:r>
      <w:r>
        <w:rPr>
          <w:b w:val="0"/>
          <w:i w:val="0"/>
        </w:rPr>
        <w:t>9.8.</w:t>
      </w:r>
      <w:r>
        <w:rPr>
          <w:b w:val="0"/>
          <w:i w:val="0"/>
        </w:rPr>
        <w:t xml:space="preserve"> </w:t>
      </w:r>
      <w:r>
        <w:rPr>
          <w:b w:val="0"/>
          <w:i w:val="0"/>
        </w:rPr>
        <w:t>Vaccination .................................................................................................................60</w:t>
      </w:r>
      <w:r>
        <w:rPr>
          <w:b w:val="0"/>
          <w:i w:val="0"/>
        </w:rPr>
        <w:t xml:space="preserve"> </w:t>
      </w:r>
      <w:r>
        <w:rPr>
          <w:b w:val="0"/>
          <w:i w:val="0"/>
        </w:rPr>
        <w:t>9.9.</w:t>
      </w:r>
      <w:r>
        <w:rPr>
          <w:b w:val="0"/>
          <w:i w:val="0"/>
        </w:rPr>
        <w:t xml:space="preserve"> </w:t>
      </w:r>
      <w:r>
        <w:rPr>
          <w:b w:val="0"/>
          <w:i w:val="0"/>
        </w:rPr>
        <w:t>Treatment Compliance ................................................................................................61</w:t>
      </w:r>
      <w:r>
        <w:rPr>
          <w:b w:val="0"/>
          <w:i w:val="0"/>
        </w:rPr>
        <w:t xml:space="preserve"> </w:t>
      </w:r>
      <w:r>
        <w:rPr>
          <w:b w:val="0"/>
          <w:i w:val="0"/>
        </w:rPr>
        <w:t>9.10.</w:t>
      </w:r>
      <w:r>
        <w:rPr>
          <w:b w:val="0"/>
          <w:i w:val="0"/>
        </w:rPr>
        <w:t xml:space="preserve"> </w:t>
      </w:r>
      <w:r>
        <w:rPr>
          <w:b w:val="0"/>
          <w:i w:val="0"/>
        </w:rPr>
        <w:t>Contraception Guidance .............................................................................................61</w:t>
      </w:r>
      <w:r>
        <w:rPr>
          <w:b w:val="0"/>
          <w:i w:val="0"/>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