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9.1.4.</w:t>
      </w:r>
    </w:p>
    <w:p>
      <w:r>
        <w:rPr>
          <w:b/>
        </w:rPr>
        <w:t>Study Drug Preparation and Infusion ALXN1210 must NOT be administered as an IV push or bolus injection. Infusions of study</w:t>
      </w:r>
    </w:p>
    <w:p>
      <w:r>
        <w:rPr>
          <w:b w:val="0"/>
          <w:i w:val="0"/>
        </w:rPr>
        <w:t xml:space="preserve">drug should be prepared using aseptic technique. The patient’s required dose of ALXN1210 will </w:t>
      </w:r>
      <w:r>
        <w:rPr>
          <w:b w:val="0"/>
          <w:i w:val="0"/>
        </w:rPr>
        <w:t xml:space="preserve">be further diluted into commercially available saline (0.9% sodium chloride; country-specific </w:t>
      </w:r>
      <w:r>
        <w:rPr>
          <w:b w:val="0"/>
          <w:i w:val="0"/>
        </w:rPr>
        <w:t xml:space="preserve">pharmacopeia) at the volume specified in </w:t>
      </w:r>
      <w:r>
        <w:rPr>
          <w:b w:val="0"/>
          <w:i w:val="0"/>
        </w:rPr>
        <w:t>Table 6</w:t>
      </w:r>
      <w:r>
        <w:rPr>
          <w:b w:val="0"/>
          <w:i w:val="0"/>
        </w:rPr>
        <w:t xml:space="preserve">. ALXN1210 admixture will be administered to </w:t>
      </w:r>
      <w:r>
        <w:rPr>
          <w:b w:val="0"/>
          <w:i w:val="0"/>
        </w:rPr>
        <w:t xml:space="preserve">the patient using an IV tubing administration set via an infusion pump. Use of a 0.2 micron filter </w:t>
      </w:r>
      <w:r>
        <w:rPr>
          <w:b w:val="0"/>
          <w:i w:val="0"/>
        </w:rPr>
        <w:t xml:space="preserve">is required during infusion. </w:t>
      </w:r>
    </w:p>
    <w:p>
      <w:r>
        <w:rPr>
          <w:b/>
        </w:rPr>
        <w:t>Table 6:</w:t>
      </w:r>
    </w:p>
    <w:p>
      <w:r>
        <w:rPr>
          <w:b/>
        </w:rPr>
        <w:t>Dosing Reference Chart for ALXN1210 Dose Preparation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Dose Type</w:t>
            </w:r>
          </w:p>
        </w:tc>
        <w:tc>
          <w:tcPr>
            <w:tcW w:type="dxa" w:w="1080"/>
          </w:tcPr>
          <w:p>
            <w:r>
              <w:t>Body Weight</w:t>
              <w:br/>
              <w:t>(kg)a</w:t>
            </w:r>
          </w:p>
        </w:tc>
        <w:tc>
          <w:tcPr>
            <w:tcW w:type="dxa" w:w="1080"/>
          </w:tcPr>
          <w:p>
            <w:r>
              <w:t>Dose</w:t>
              <w:br/>
              <w:t>(mg)</w:t>
            </w:r>
          </w:p>
        </w:tc>
        <w:tc>
          <w:tcPr>
            <w:tcW w:type="dxa" w:w="1080"/>
          </w:tcPr>
          <w:p>
            <w:r>
              <w:t>ALXN1210</w:t>
              <w:br/>
              <w:t>Volume (mL)</w:t>
            </w:r>
          </w:p>
        </w:tc>
        <w:tc>
          <w:tcPr>
            <w:tcW w:type="dxa" w:w="1080"/>
          </w:tcPr>
          <w:p>
            <w:r>
              <w:t>Saline</w:t>
              <w:br/>
              <w:t>Volume</w:t>
              <w:br/>
              <w:t>(mL)</w:t>
            </w:r>
          </w:p>
        </w:tc>
        <w:tc>
          <w:tcPr>
            <w:tcW w:type="dxa" w:w="1080"/>
          </w:tcPr>
          <w:p>
            <w:r>
              <w:t>Total</w:t>
              <w:br/>
              <w:t>Volume</w:t>
              <w:br/>
              <w:t>(mL)</w:t>
            </w:r>
          </w:p>
        </w:tc>
        <w:tc>
          <w:tcPr>
            <w:tcW w:type="dxa" w:w="1080"/>
          </w:tcPr>
          <w:p>
            <w:r>
              <w:t>Minimum</w:t>
              <w:br/>
              <w:t>Infusion</w:t>
              <w:br/>
              <w:t>Duration</w:t>
              <w:br/>
              <w:t>minutes</w:t>
              <w:br/>
              <w:t>(hours)</w:t>
            </w:r>
          </w:p>
        </w:tc>
        <w:tc>
          <w:tcPr>
            <w:tcW w:type="dxa" w:w="1080"/>
          </w:tcPr>
          <w:p>
            <w:r>
              <w:t>Maximum</w:t>
              <w:br/>
              <w:t>Infusion</w:t>
              <w:br/>
              <w:t>Rate</w:t>
              <w:br/>
              <w:t>(mL/hour)</w:t>
            </w:r>
          </w:p>
        </w:tc>
      </w:tr>
      <w:tr>
        <w:tc>
          <w:tcPr>
            <w:tcW w:type="dxa" w:w="1080"/>
          </w:tcPr>
          <w:p>
            <w:r>
              <w:t>Loading</w:t>
            </w:r>
          </w:p>
        </w:tc>
        <w:tc>
          <w:tcPr>
            <w:tcW w:type="dxa" w:w="1080"/>
          </w:tcPr>
          <w:p>
            <w:r>
              <w:t>≥ 5 to &lt; 10</w:t>
            </w:r>
          </w:p>
        </w:tc>
        <w:tc>
          <w:tcPr>
            <w:tcW w:type="dxa" w:w="1080"/>
          </w:tcPr>
          <w:p>
            <w:r>
              <w:t>600</w:t>
            </w:r>
          </w:p>
        </w:tc>
        <w:tc>
          <w:tcPr>
            <w:tcW w:type="dxa" w:w="1080"/>
          </w:tcPr>
          <w:p>
            <w:r>
              <w:t>60</w:t>
            </w:r>
          </w:p>
        </w:tc>
        <w:tc>
          <w:tcPr>
            <w:tcW w:type="dxa" w:w="1080"/>
          </w:tcPr>
          <w:p>
            <w:r>
              <w:t>60</w:t>
            </w:r>
          </w:p>
        </w:tc>
        <w:tc>
          <w:tcPr>
            <w:tcW w:type="dxa" w:w="1080"/>
          </w:tcPr>
          <w:p>
            <w:r>
              <w:t>120</w:t>
            </w:r>
          </w:p>
        </w:tc>
        <w:tc>
          <w:tcPr>
            <w:tcW w:type="dxa" w:w="1080"/>
          </w:tcPr>
          <w:p>
            <w:r>
              <w:t>228 (3.8)</w:t>
            </w:r>
          </w:p>
        </w:tc>
        <w:tc>
          <w:tcPr>
            <w:tcW w:type="dxa" w:w="1080"/>
          </w:tcPr>
          <w:p>
            <w:r>
              <w:t>31.5</w:t>
            </w:r>
          </w:p>
        </w:tc>
      </w:tr>
      <w:tr>
        <w:tc>
          <w:tcPr>
            <w:tcW w:type="dxa" w:w="1080"/>
          </w:tcPr>
          <w:p>
            <w:r/>
          </w:p>
        </w:tc>
        <w:tc>
          <w:tcPr>
            <w:tcW w:type="dxa" w:w="1080"/>
          </w:tcPr>
          <w:p>
            <w:r>
              <w:t>≥ 10 to &lt; 20</w:t>
            </w:r>
          </w:p>
        </w:tc>
        <w:tc>
          <w:tcPr>
            <w:tcW w:type="dxa" w:w="1080"/>
          </w:tcPr>
          <w:p>
            <w:r>
              <w:t>600</w:t>
            </w:r>
          </w:p>
        </w:tc>
        <w:tc>
          <w:tcPr>
            <w:tcW w:type="dxa" w:w="1080"/>
          </w:tcPr>
          <w:p>
            <w:r>
              <w:t>60</w:t>
            </w:r>
          </w:p>
        </w:tc>
        <w:tc>
          <w:tcPr>
            <w:tcW w:type="dxa" w:w="1080"/>
          </w:tcPr>
          <w:p>
            <w:r>
              <w:t>60</w:t>
            </w:r>
          </w:p>
        </w:tc>
        <w:tc>
          <w:tcPr>
            <w:tcW w:type="dxa" w:w="1080"/>
          </w:tcPr>
          <w:p>
            <w:r>
              <w:t>120</w:t>
            </w:r>
          </w:p>
        </w:tc>
        <w:tc>
          <w:tcPr>
            <w:tcW w:type="dxa" w:w="1080"/>
          </w:tcPr>
          <w:p>
            <w:r>
              <w:t>113 (1.9)</w:t>
            </w:r>
          </w:p>
        </w:tc>
        <w:tc>
          <w:tcPr>
            <w:tcW w:type="dxa" w:w="1080"/>
          </w:tcPr>
          <w:p>
            <w:r>
              <w:t>63.1</w:t>
            </w:r>
          </w:p>
        </w:tc>
      </w:tr>
      <w:tr>
        <w:tc>
          <w:tcPr>
            <w:tcW w:type="dxa" w:w="1080"/>
          </w:tcPr>
          <w:p>
            <w:r/>
          </w:p>
        </w:tc>
        <w:tc>
          <w:tcPr>
            <w:tcW w:type="dxa" w:w="1080"/>
          </w:tcPr>
          <w:p>
            <w:r>
              <w:t>≥ 20 to &lt; 30</w:t>
            </w:r>
          </w:p>
        </w:tc>
        <w:tc>
          <w:tcPr>
            <w:tcW w:type="dxa" w:w="1080"/>
          </w:tcPr>
          <w:p>
            <w:r>
              <w:t>900</w:t>
            </w:r>
          </w:p>
        </w:tc>
        <w:tc>
          <w:tcPr>
            <w:tcW w:type="dxa" w:w="1080"/>
          </w:tcPr>
          <w:p>
            <w:r>
              <w:t>90</w:t>
            </w:r>
          </w:p>
        </w:tc>
        <w:tc>
          <w:tcPr>
            <w:tcW w:type="dxa" w:w="1080"/>
          </w:tcPr>
          <w:p>
            <w:r>
              <w:t>90</w:t>
            </w:r>
          </w:p>
        </w:tc>
        <w:tc>
          <w:tcPr>
            <w:tcW w:type="dxa" w:w="1080"/>
          </w:tcPr>
          <w:p>
            <w:r>
              <w:t>180</w:t>
            </w:r>
          </w:p>
        </w:tc>
        <w:tc>
          <w:tcPr>
            <w:tcW w:type="dxa" w:w="1080"/>
          </w:tcPr>
          <w:p>
            <w:r>
              <w:t>86 (1.5)</w:t>
            </w:r>
          </w:p>
        </w:tc>
        <w:tc>
          <w:tcPr>
            <w:tcW w:type="dxa" w:w="1080"/>
          </w:tcPr>
          <w:p>
            <w:r>
              <w:t>120.0</w:t>
            </w:r>
          </w:p>
        </w:tc>
      </w:tr>
      <w:tr>
        <w:tc>
          <w:tcPr>
            <w:tcW w:type="dxa" w:w="1080"/>
          </w:tcPr>
          <w:p>
            <w:r/>
          </w:p>
        </w:tc>
        <w:tc>
          <w:tcPr>
            <w:tcW w:type="dxa" w:w="1080"/>
          </w:tcPr>
          <w:p>
            <w:r>
              <w:t>≥ 30 to &lt; 40</w:t>
            </w:r>
          </w:p>
        </w:tc>
        <w:tc>
          <w:tcPr>
            <w:tcW w:type="dxa" w:w="1080"/>
          </w:tcPr>
          <w:p>
            <w:r>
              <w:t>1200</w:t>
            </w:r>
          </w:p>
        </w:tc>
        <w:tc>
          <w:tcPr>
            <w:tcW w:type="dxa" w:w="1080"/>
          </w:tcPr>
          <w:p>
            <w:r>
              <w:t>120</w:t>
            </w:r>
          </w:p>
        </w:tc>
        <w:tc>
          <w:tcPr>
            <w:tcW w:type="dxa" w:w="1080"/>
          </w:tcPr>
          <w:p>
            <w:r>
              <w:t>120</w:t>
            </w:r>
          </w:p>
        </w:tc>
        <w:tc>
          <w:tcPr>
            <w:tcW w:type="dxa" w:w="1080"/>
          </w:tcPr>
          <w:p>
            <w:r>
              <w:t>240</w:t>
            </w:r>
          </w:p>
        </w:tc>
        <w:tc>
          <w:tcPr>
            <w:tcW w:type="dxa" w:w="1080"/>
          </w:tcPr>
          <w:p>
            <w:r>
              <w:t>77 (1.3)</w:t>
            </w:r>
          </w:p>
        </w:tc>
        <w:tc>
          <w:tcPr>
            <w:tcW w:type="dxa" w:w="1080"/>
          </w:tcPr>
          <w:p>
            <w:r>
              <w:t>184.6</w:t>
            </w:r>
          </w:p>
        </w:tc>
      </w:tr>
      <w:tr>
        <w:tc>
          <w:tcPr>
            <w:tcW w:type="dxa" w:w="1080"/>
          </w:tcPr>
          <w:p>
            <w:r/>
          </w:p>
        </w:tc>
        <w:tc>
          <w:tcPr>
            <w:tcW w:type="dxa" w:w="1080"/>
          </w:tcPr>
          <w:p>
            <w:r>
              <w:t>≥ 40 to &lt; 60</w:t>
            </w:r>
          </w:p>
        </w:tc>
        <w:tc>
          <w:tcPr>
            <w:tcW w:type="dxa" w:w="1080"/>
          </w:tcPr>
          <w:p>
            <w:r>
              <w:t>2400</w:t>
            </w:r>
          </w:p>
        </w:tc>
        <w:tc>
          <w:tcPr>
            <w:tcW w:type="dxa" w:w="1080"/>
          </w:tcPr>
          <w:p>
            <w:r>
              <w:t>240</w:t>
            </w:r>
          </w:p>
        </w:tc>
        <w:tc>
          <w:tcPr>
            <w:tcW w:type="dxa" w:w="1080"/>
          </w:tcPr>
          <w:p>
            <w:r>
              <w:t>240</w:t>
            </w:r>
          </w:p>
        </w:tc>
        <w:tc>
          <w:tcPr>
            <w:tcW w:type="dxa" w:w="1080"/>
          </w:tcPr>
          <w:p>
            <w:r>
              <w:t>480</w:t>
            </w:r>
          </w:p>
        </w:tc>
        <w:tc>
          <w:tcPr>
            <w:tcW w:type="dxa" w:w="1080"/>
          </w:tcPr>
          <w:p>
            <w:r>
              <w:t>114 (1.9)</w:t>
            </w:r>
          </w:p>
        </w:tc>
        <w:tc>
          <w:tcPr>
            <w:tcW w:type="dxa" w:w="1080"/>
          </w:tcPr>
          <w:p>
            <w:r>
              <w:t>253</w:t>
            </w:r>
          </w:p>
        </w:tc>
      </w:tr>
      <w:tr>
        <w:tc>
          <w:tcPr>
            <w:tcW w:type="dxa" w:w="1080"/>
          </w:tcPr>
          <w:p>
            <w:r/>
          </w:p>
        </w:tc>
        <w:tc>
          <w:tcPr>
            <w:tcW w:type="dxa" w:w="1080"/>
          </w:tcPr>
          <w:p>
            <w:r>
              <w:t>≥ 60 to &lt; 100</w:t>
            </w:r>
          </w:p>
        </w:tc>
        <w:tc>
          <w:tcPr>
            <w:tcW w:type="dxa" w:w="1080"/>
          </w:tcPr>
          <w:p>
            <w:r>
              <w:t>2700</w:t>
            </w:r>
          </w:p>
        </w:tc>
        <w:tc>
          <w:tcPr>
            <w:tcW w:type="dxa" w:w="1080"/>
          </w:tcPr>
          <w:p>
            <w:r>
              <w:t>270</w:t>
            </w:r>
          </w:p>
        </w:tc>
        <w:tc>
          <w:tcPr>
            <w:tcW w:type="dxa" w:w="1080"/>
          </w:tcPr>
          <w:p>
            <w:r>
              <w:t>270</w:t>
            </w:r>
          </w:p>
        </w:tc>
        <w:tc>
          <w:tcPr>
            <w:tcW w:type="dxa" w:w="1080"/>
          </w:tcPr>
          <w:p>
            <w:r>
              <w:t>540</w:t>
            </w:r>
          </w:p>
        </w:tc>
        <w:tc>
          <w:tcPr>
            <w:tcW w:type="dxa" w:w="1080"/>
          </w:tcPr>
          <w:p>
            <w:r>
              <w:t>102 (1.7)</w:t>
            </w:r>
          </w:p>
        </w:tc>
        <w:tc>
          <w:tcPr>
            <w:tcW w:type="dxa" w:w="1080"/>
          </w:tcPr>
          <w:p>
            <w:r>
              <w:t>318</w:t>
            </w:r>
          </w:p>
        </w:tc>
      </w:tr>
      <w:tr>
        <w:tc>
          <w:tcPr>
            <w:tcW w:type="dxa" w:w="1080"/>
          </w:tcPr>
          <w:p>
            <w:r/>
          </w:p>
        </w:tc>
        <w:tc>
          <w:tcPr>
            <w:tcW w:type="dxa" w:w="1080"/>
          </w:tcPr>
          <w:p>
            <w:r>
              <w:t>≥ 100</w:t>
            </w:r>
          </w:p>
        </w:tc>
        <w:tc>
          <w:tcPr>
            <w:tcW w:type="dxa" w:w="1080"/>
          </w:tcPr>
          <w:p>
            <w:r>
              <w:t>3000</w:t>
            </w:r>
          </w:p>
        </w:tc>
        <w:tc>
          <w:tcPr>
            <w:tcW w:type="dxa" w:w="1080"/>
          </w:tcPr>
          <w:p>
            <w:r>
              <w:t>300</w:t>
            </w:r>
          </w:p>
        </w:tc>
        <w:tc>
          <w:tcPr>
            <w:tcW w:type="dxa" w:w="1080"/>
          </w:tcPr>
          <w:p>
            <w:r>
              <w:t>300</w:t>
            </w:r>
          </w:p>
        </w:tc>
        <w:tc>
          <w:tcPr>
            <w:tcW w:type="dxa" w:w="1080"/>
          </w:tcPr>
          <w:p>
            <w:r>
              <w:t>600</w:t>
            </w:r>
          </w:p>
        </w:tc>
        <w:tc>
          <w:tcPr>
            <w:tcW w:type="dxa" w:w="1080"/>
          </w:tcPr>
          <w:p>
            <w:r>
              <w:t>108 (1.8)</w:t>
            </w:r>
          </w:p>
        </w:tc>
        <w:tc>
          <w:tcPr>
            <w:tcW w:type="dxa" w:w="1080"/>
          </w:tcPr>
          <w:p>
            <w:r>
              <w:t>333</w:t>
            </w:r>
          </w:p>
        </w:tc>
      </w:tr>
      <w:tr>
        <w:tc>
          <w:tcPr>
            <w:tcW w:type="dxa" w:w="1080"/>
          </w:tcPr>
          <w:p>
            <w:r>
              <w:t>Maintenance</w:t>
            </w:r>
          </w:p>
        </w:tc>
        <w:tc>
          <w:tcPr>
            <w:tcW w:type="dxa" w:w="1080"/>
          </w:tcPr>
          <w:p>
            <w:r>
              <w:t>≥ 5 to &lt; 10</w:t>
            </w:r>
          </w:p>
        </w:tc>
        <w:tc>
          <w:tcPr>
            <w:tcW w:type="dxa" w:w="1080"/>
          </w:tcPr>
          <w:p>
            <w:r>
              <w:t>300</w:t>
            </w:r>
          </w:p>
        </w:tc>
        <w:tc>
          <w:tcPr>
            <w:tcW w:type="dxa" w:w="1080"/>
          </w:tcPr>
          <w:p>
            <w:r>
              <w:t>30</w:t>
            </w:r>
          </w:p>
        </w:tc>
        <w:tc>
          <w:tcPr>
            <w:tcW w:type="dxa" w:w="1080"/>
          </w:tcPr>
          <w:p>
            <w:r>
              <w:t>30</w:t>
            </w:r>
          </w:p>
        </w:tc>
        <w:tc>
          <w:tcPr>
            <w:tcW w:type="dxa" w:w="1080"/>
          </w:tcPr>
          <w:p>
            <w:r>
              <w:t>60</w:t>
            </w:r>
          </w:p>
        </w:tc>
        <w:tc>
          <w:tcPr>
            <w:tcW w:type="dxa" w:w="1080"/>
          </w:tcPr>
          <w:p>
            <w:r>
              <w:t>113 (1.9)</w:t>
            </w:r>
          </w:p>
        </w:tc>
        <w:tc>
          <w:tcPr>
            <w:tcW w:type="dxa" w:w="1080"/>
          </w:tcPr>
          <w:p>
            <w:r>
              <w:t>31.5</w:t>
            </w:r>
          </w:p>
        </w:tc>
      </w:tr>
      <w:tr>
        <w:tc>
          <w:tcPr>
            <w:tcW w:type="dxa" w:w="1080"/>
          </w:tcPr>
          <w:p>
            <w:r/>
          </w:p>
        </w:tc>
        <w:tc>
          <w:tcPr>
            <w:tcW w:type="dxa" w:w="1080"/>
          </w:tcPr>
          <w:p>
            <w:r>
              <w:t>≥ 10 to &lt; 20</w:t>
            </w:r>
          </w:p>
        </w:tc>
        <w:tc>
          <w:tcPr>
            <w:tcW w:type="dxa" w:w="1080"/>
          </w:tcPr>
          <w:p>
            <w:r>
              <w:t>600</w:t>
            </w:r>
          </w:p>
        </w:tc>
        <w:tc>
          <w:tcPr>
            <w:tcW w:type="dxa" w:w="1080"/>
          </w:tcPr>
          <w:p>
            <w:r>
              <w:t>60</w:t>
            </w:r>
          </w:p>
        </w:tc>
        <w:tc>
          <w:tcPr>
            <w:tcW w:type="dxa" w:w="1080"/>
          </w:tcPr>
          <w:p>
            <w:r>
              <w:t>60</w:t>
            </w:r>
          </w:p>
        </w:tc>
        <w:tc>
          <w:tcPr>
            <w:tcW w:type="dxa" w:w="1080"/>
          </w:tcPr>
          <w:p>
            <w:r>
              <w:t>120</w:t>
            </w:r>
          </w:p>
        </w:tc>
        <w:tc>
          <w:tcPr>
            <w:tcW w:type="dxa" w:w="1080"/>
          </w:tcPr>
          <w:p>
            <w:r>
              <w:t>113 (1.9)</w:t>
            </w:r>
          </w:p>
        </w:tc>
        <w:tc>
          <w:tcPr>
            <w:tcW w:type="dxa" w:w="1080"/>
          </w:tcPr>
          <w:p>
            <w:r>
              <w:t>63.1</w:t>
            </w:r>
          </w:p>
        </w:tc>
      </w:tr>
      <w:tr>
        <w:tc>
          <w:tcPr>
            <w:tcW w:type="dxa" w:w="1080"/>
          </w:tcPr>
          <w:p>
            <w:r/>
          </w:p>
        </w:tc>
        <w:tc>
          <w:tcPr>
            <w:tcW w:type="dxa" w:w="1080"/>
          </w:tcPr>
          <w:p>
            <w:r>
              <w:t>≥ 20 to &lt; 30</w:t>
            </w:r>
          </w:p>
        </w:tc>
        <w:tc>
          <w:tcPr>
            <w:tcW w:type="dxa" w:w="1080"/>
          </w:tcPr>
          <w:p>
            <w:r>
              <w:t>2100</w:t>
            </w:r>
          </w:p>
        </w:tc>
        <w:tc>
          <w:tcPr>
            <w:tcW w:type="dxa" w:w="1080"/>
          </w:tcPr>
          <w:p>
            <w:r>
              <w:t>210</w:t>
            </w:r>
          </w:p>
        </w:tc>
        <w:tc>
          <w:tcPr>
            <w:tcW w:type="dxa" w:w="1080"/>
          </w:tcPr>
          <w:p>
            <w:r>
              <w:t>210</w:t>
            </w:r>
          </w:p>
        </w:tc>
        <w:tc>
          <w:tcPr>
            <w:tcW w:type="dxa" w:w="1080"/>
          </w:tcPr>
          <w:p>
            <w:r>
              <w:t>420</w:t>
            </w:r>
          </w:p>
        </w:tc>
        <w:tc>
          <w:tcPr>
            <w:tcW w:type="dxa" w:w="1080"/>
          </w:tcPr>
          <w:p>
            <w:r>
              <w:t>194 (3.3)</w:t>
            </w:r>
          </w:p>
        </w:tc>
        <w:tc>
          <w:tcPr>
            <w:tcW w:type="dxa" w:w="1080"/>
          </w:tcPr>
          <w:p>
            <w:r>
              <w:t>127.2</w:t>
            </w:r>
          </w:p>
        </w:tc>
      </w:tr>
      <w:tr>
        <w:tc>
          <w:tcPr>
            <w:tcW w:type="dxa" w:w="1080"/>
          </w:tcPr>
          <w:p>
            <w:r/>
          </w:p>
        </w:tc>
        <w:tc>
          <w:tcPr>
            <w:tcW w:type="dxa" w:w="1080"/>
          </w:tcPr>
          <w:p>
            <w:r>
              <w:t>≥ 30 to &lt; 40</w:t>
            </w:r>
          </w:p>
        </w:tc>
        <w:tc>
          <w:tcPr>
            <w:tcW w:type="dxa" w:w="1080"/>
          </w:tcPr>
          <w:p>
            <w:r>
              <w:t>2700</w:t>
            </w:r>
          </w:p>
        </w:tc>
        <w:tc>
          <w:tcPr>
            <w:tcW w:type="dxa" w:w="1080"/>
          </w:tcPr>
          <w:p>
            <w:r>
              <w:t>270</w:t>
            </w:r>
          </w:p>
        </w:tc>
        <w:tc>
          <w:tcPr>
            <w:tcW w:type="dxa" w:w="1080"/>
          </w:tcPr>
          <w:p>
            <w:r>
              <w:t>270</w:t>
            </w:r>
          </w:p>
        </w:tc>
        <w:tc>
          <w:tcPr>
            <w:tcW w:type="dxa" w:w="1080"/>
          </w:tcPr>
          <w:p>
            <w:r>
              <w:t>540</w:t>
            </w:r>
          </w:p>
        </w:tc>
        <w:tc>
          <w:tcPr>
            <w:tcW w:type="dxa" w:w="1080"/>
          </w:tcPr>
          <w:p>
            <w:r>
              <w:t>167 (2.8)</w:t>
            </w:r>
          </w:p>
        </w:tc>
        <w:tc>
          <w:tcPr>
            <w:tcW w:type="dxa" w:w="1080"/>
          </w:tcPr>
          <w:p>
            <w:r>
              <w:t>192.8</w:t>
            </w:r>
          </w:p>
        </w:tc>
      </w:tr>
      <w:tr>
        <w:tc>
          <w:tcPr>
            <w:tcW w:type="dxa" w:w="1080"/>
          </w:tcPr>
          <w:p>
            <w:r/>
          </w:p>
        </w:tc>
        <w:tc>
          <w:tcPr>
            <w:tcW w:type="dxa" w:w="1080"/>
          </w:tcPr>
          <w:p>
            <w:r>
              <w:t>≥ 40 to &lt; 60</w:t>
            </w:r>
          </w:p>
        </w:tc>
        <w:tc>
          <w:tcPr>
            <w:tcW w:type="dxa" w:w="1080"/>
          </w:tcPr>
          <w:p>
            <w:r>
              <w:t>3000</w:t>
            </w:r>
          </w:p>
        </w:tc>
        <w:tc>
          <w:tcPr>
            <w:tcW w:type="dxa" w:w="1080"/>
          </w:tcPr>
          <w:p>
            <w:r>
              <w:t>300</w:t>
            </w:r>
          </w:p>
        </w:tc>
        <w:tc>
          <w:tcPr>
            <w:tcW w:type="dxa" w:w="1080"/>
          </w:tcPr>
          <w:p>
            <w:r>
              <w:t>300</w:t>
            </w:r>
          </w:p>
        </w:tc>
        <w:tc>
          <w:tcPr>
            <w:tcW w:type="dxa" w:w="1080"/>
          </w:tcPr>
          <w:p>
            <w:r>
              <w:t>600</w:t>
            </w:r>
          </w:p>
        </w:tc>
        <w:tc>
          <w:tcPr>
            <w:tcW w:type="dxa" w:w="1080"/>
          </w:tcPr>
          <w:p>
            <w:r>
              <w:t>140 (2.4)</w:t>
            </w:r>
          </w:p>
        </w:tc>
        <w:tc>
          <w:tcPr>
            <w:tcW w:type="dxa" w:w="1080"/>
          </w:tcPr>
          <w:p>
            <w:r>
              <w:t>250</w:t>
            </w:r>
          </w:p>
        </w:tc>
      </w:tr>
      <w:tr>
        <w:tc>
          <w:tcPr>
            <w:tcW w:type="dxa" w:w="1080"/>
          </w:tcPr>
          <w:p>
            <w:r/>
          </w:p>
        </w:tc>
        <w:tc>
          <w:tcPr>
            <w:tcW w:type="dxa" w:w="1080"/>
          </w:tcPr>
          <w:p>
            <w:r>
              <w:t>≥ 60 to &lt; 100</w:t>
            </w:r>
          </w:p>
        </w:tc>
        <w:tc>
          <w:tcPr>
            <w:tcW w:type="dxa" w:w="1080"/>
          </w:tcPr>
          <w:p>
            <w:r>
              <w:t>3300</w:t>
            </w:r>
          </w:p>
        </w:tc>
        <w:tc>
          <w:tcPr>
            <w:tcW w:type="dxa" w:w="1080"/>
          </w:tcPr>
          <w:p>
            <w:r>
              <w:t>330</w:t>
            </w:r>
          </w:p>
        </w:tc>
        <w:tc>
          <w:tcPr>
            <w:tcW w:type="dxa" w:w="1080"/>
          </w:tcPr>
          <w:p>
            <w:r>
              <w:t>330</w:t>
            </w:r>
          </w:p>
        </w:tc>
        <w:tc>
          <w:tcPr>
            <w:tcW w:type="dxa" w:w="1080"/>
          </w:tcPr>
          <w:p>
            <w:r>
              <w:t>660</w:t>
            </w:r>
          </w:p>
        </w:tc>
        <w:tc>
          <w:tcPr>
            <w:tcW w:type="dxa" w:w="1080"/>
          </w:tcPr>
          <w:p>
            <w:r>
              <w:t>120 (2.0)</w:t>
            </w:r>
          </w:p>
        </w:tc>
        <w:tc>
          <w:tcPr>
            <w:tcW w:type="dxa" w:w="1080"/>
          </w:tcPr>
          <w:p>
            <w:r>
              <w:t>330</w:t>
            </w:r>
          </w:p>
        </w:tc>
      </w:tr>
      <w:tr>
        <w:tc>
          <w:tcPr>
            <w:tcW w:type="dxa" w:w="1080"/>
          </w:tcPr>
          <w:p>
            <w:r/>
          </w:p>
        </w:tc>
        <w:tc>
          <w:tcPr>
            <w:tcW w:type="dxa" w:w="1080"/>
          </w:tcPr>
          <w:p>
            <w:r>
              <w:t>≥ 100</w:t>
            </w:r>
          </w:p>
        </w:tc>
        <w:tc>
          <w:tcPr>
            <w:tcW w:type="dxa" w:w="1080"/>
          </w:tcPr>
          <w:p>
            <w:r>
              <w:t>3600</w:t>
            </w:r>
          </w:p>
        </w:tc>
        <w:tc>
          <w:tcPr>
            <w:tcW w:type="dxa" w:w="1080"/>
          </w:tcPr>
          <w:p>
            <w:r>
              <w:t>360</w:t>
            </w:r>
          </w:p>
        </w:tc>
        <w:tc>
          <w:tcPr>
            <w:tcW w:type="dxa" w:w="1080"/>
          </w:tcPr>
          <w:p>
            <w:r>
              <w:t>360</w:t>
            </w:r>
          </w:p>
        </w:tc>
        <w:tc>
          <w:tcPr>
            <w:tcW w:type="dxa" w:w="1080"/>
          </w:tcPr>
          <w:p>
            <w:r>
              <w:t>720</w:t>
            </w:r>
          </w:p>
        </w:tc>
        <w:tc>
          <w:tcPr>
            <w:tcW w:type="dxa" w:w="1080"/>
          </w:tcPr>
          <w:p>
            <w:r>
              <w:t>132 (2.2)</w:t>
            </w:r>
          </w:p>
        </w:tc>
        <w:tc>
          <w:tcPr>
            <w:tcW w:type="dxa" w:w="1080"/>
          </w:tcPr>
          <w:p>
            <w:r>
              <w:t>328</w:t>
            </w:r>
          </w:p>
        </w:tc>
      </w:tr>
    </w:tbl>
    <w:p>
      <w:r>
        <w:rPr>
          <w:b/>
          <w:i w:val="0"/>
        </w:rPr>
        <w:t xml:space="preserve">Dose Type </w:t>
      </w:r>
      <w:r>
        <w:rPr>
          <w:b/>
          <w:i w:val="0"/>
        </w:rPr>
        <w:t xml:space="preserve">Body Weight </w:t>
      </w:r>
      <w:r>
        <w:rPr>
          <w:b/>
          <w:i w:val="0"/>
        </w:rPr>
        <w:t xml:space="preserve">Dose </w:t>
      </w:r>
      <w:r>
        <w:rPr>
          <w:b/>
          <w:i w:val="0"/>
        </w:rPr>
        <w:t xml:space="preserve">ALXN1210 </w:t>
      </w:r>
      <w:r>
        <w:rPr>
          <w:b/>
          <w:i w:val="0"/>
        </w:rPr>
        <w:t xml:space="preserve">Saline </w:t>
      </w:r>
      <w:r>
        <w:rPr>
          <w:b/>
          <w:i w:val="0"/>
        </w:rPr>
        <w:t xml:space="preserve">Total </w:t>
      </w:r>
      <w:r>
        <w:rPr>
          <w:b/>
          <w:i w:val="0"/>
        </w:rPr>
        <w:t xml:space="preserve">Minimum </w:t>
      </w:r>
      <w:r>
        <w:rPr>
          <w:b/>
          <w:i w:val="0"/>
        </w:rPr>
        <w:t xml:space="preserve">Maximum </w:t>
      </w:r>
      <w:r>
        <w:rPr>
          <w:b/>
          <w:i w:val="0"/>
        </w:rPr>
        <w:t>(kg)</w:t>
      </w:r>
      <w:r>
        <w:rPr>
          <w:b/>
          <w:i w:val="0"/>
        </w:rPr>
        <w:t>a</w:t>
      </w:r>
      <w:r>
        <w:rPr>
          <w:b/>
          <w:i w:val="0"/>
        </w:rPr>
        <w:t xml:space="preserve"> </w:t>
      </w:r>
      <w:r>
        <w:rPr>
          <w:b/>
          <w:i w:val="0"/>
        </w:rPr>
        <w:t xml:space="preserve">(mg) </w:t>
      </w:r>
      <w:r>
        <w:rPr>
          <w:b/>
          <w:i w:val="0"/>
        </w:rPr>
        <w:t xml:space="preserve">Volume (mL) </w:t>
      </w:r>
      <w:r>
        <w:rPr>
          <w:b/>
          <w:i w:val="0"/>
        </w:rPr>
        <w:t xml:space="preserve">Volume </w:t>
      </w:r>
      <w:r>
        <w:rPr>
          <w:b/>
          <w:i w:val="0"/>
        </w:rPr>
        <w:t xml:space="preserve">Volume </w:t>
      </w:r>
      <w:r>
        <w:rPr>
          <w:b/>
          <w:i w:val="0"/>
        </w:rPr>
        <w:t xml:space="preserve">Infusion </w:t>
      </w:r>
      <w:r>
        <w:rPr>
          <w:b/>
          <w:i w:val="0"/>
        </w:rPr>
        <w:t xml:space="preserve">Infusion </w:t>
      </w:r>
      <w:r>
        <w:rPr>
          <w:b/>
          <w:i w:val="0"/>
        </w:rPr>
        <w:t xml:space="preserve">(mL) </w:t>
      </w:r>
      <w:r>
        <w:rPr>
          <w:b/>
          <w:i w:val="0"/>
        </w:rPr>
        <w:t xml:space="preserve">(mL) </w:t>
      </w:r>
      <w:r>
        <w:rPr>
          <w:b/>
          <w:i w:val="0"/>
        </w:rPr>
        <w:t xml:space="preserve">Duration </w:t>
      </w:r>
      <w:r>
        <w:rPr>
          <w:b/>
          <w:i w:val="0"/>
        </w:rPr>
        <w:t xml:space="preserve">Rate </w:t>
      </w:r>
      <w:r>
        <w:rPr>
          <w:b/>
          <w:i w:val="0"/>
        </w:rPr>
        <w:t xml:space="preserve">minutes </w:t>
      </w:r>
      <w:r>
        <w:rPr>
          <w:b/>
          <w:i w:val="0"/>
        </w:rPr>
        <w:t xml:space="preserve">(mL/hour) </w:t>
      </w:r>
      <w:r>
        <w:rPr>
          <w:b/>
          <w:i w:val="0"/>
        </w:rPr>
        <w:t xml:space="preserve">(hours) </w:t>
      </w:r>
      <w:r>
        <w:rPr>
          <w:b w:val="0"/>
          <w:i w:val="0"/>
        </w:rPr>
        <w:t xml:space="preserve">Loading </w:t>
      </w:r>
      <w:r>
        <w:rPr>
          <w:b w:val="0"/>
          <w:i w:val="0"/>
        </w:rPr>
        <w:t xml:space="preserve">≥ </w:t>
      </w:r>
      <w:r>
        <w:rPr>
          <w:b w:val="0"/>
          <w:i w:val="0"/>
        </w:rPr>
        <w:t xml:space="preserve">5 to &lt; 10 </w:t>
      </w:r>
      <w:r>
        <w:rPr>
          <w:b w:val="0"/>
          <w:i w:val="0"/>
        </w:rPr>
        <w:t xml:space="preserve">228 (3.8) </w:t>
      </w:r>
      <w:r>
        <w:rPr>
          <w:b w:val="0"/>
          <w:i w:val="0"/>
        </w:rPr>
        <w:t xml:space="preserve">31.5 </w:t>
      </w:r>
      <w:r>
        <w:rPr>
          <w:b w:val="0"/>
          <w:i w:val="0"/>
        </w:rPr>
        <w:t xml:space="preserve">≥ </w:t>
      </w:r>
      <w:r>
        <w:rPr>
          <w:b w:val="0"/>
          <w:i w:val="0"/>
        </w:rPr>
        <w:t xml:space="preserve">10 to &lt; 20 </w:t>
      </w:r>
      <w:r>
        <w:rPr>
          <w:b w:val="0"/>
          <w:i w:val="0"/>
        </w:rPr>
        <w:t xml:space="preserve">113 (1.9) </w:t>
      </w:r>
      <w:r>
        <w:rPr>
          <w:b w:val="0"/>
          <w:i w:val="0"/>
        </w:rPr>
        <w:t xml:space="preserve">63.1 </w:t>
      </w:r>
      <w:r>
        <w:rPr>
          <w:b w:val="0"/>
          <w:i w:val="0"/>
        </w:rPr>
        <w:t xml:space="preserve">≥ </w:t>
      </w:r>
      <w:r>
        <w:rPr>
          <w:b w:val="0"/>
          <w:i w:val="0"/>
        </w:rPr>
        <w:t xml:space="preserve">20 to &lt; 30 </w:t>
      </w:r>
      <w:r>
        <w:rPr>
          <w:b w:val="0"/>
          <w:i w:val="0"/>
        </w:rPr>
        <w:t xml:space="preserve">86 (1.5) </w:t>
      </w:r>
      <w:r>
        <w:rPr>
          <w:b w:val="0"/>
          <w:i w:val="0"/>
        </w:rPr>
        <w:t xml:space="preserve">120.0 </w:t>
      </w:r>
      <w:r>
        <w:rPr>
          <w:b w:val="0"/>
          <w:i w:val="0"/>
        </w:rPr>
        <w:t xml:space="preserve">≥ </w:t>
      </w:r>
      <w:r>
        <w:rPr>
          <w:b w:val="0"/>
          <w:i w:val="0"/>
        </w:rPr>
        <w:t xml:space="preserve">30 to &lt; 40 </w:t>
      </w:r>
      <w:r>
        <w:rPr>
          <w:b w:val="0"/>
          <w:i w:val="0"/>
        </w:rPr>
        <w:t xml:space="preserve">77 (1.3) </w:t>
      </w:r>
      <w:r>
        <w:rPr>
          <w:b w:val="0"/>
          <w:i w:val="0"/>
        </w:rPr>
        <w:t xml:space="preserve">184.6 </w:t>
      </w:r>
      <w:r>
        <w:rPr>
          <w:b w:val="0"/>
          <w:i w:val="0"/>
        </w:rPr>
        <w:t xml:space="preserve">≥ </w:t>
      </w:r>
      <w:r>
        <w:rPr>
          <w:b w:val="0"/>
          <w:i w:val="0"/>
        </w:rPr>
        <w:t xml:space="preserve">40 to &lt; 60 </w:t>
      </w:r>
      <w:r>
        <w:rPr>
          <w:b w:val="0"/>
          <w:i w:val="0"/>
        </w:rPr>
        <w:t xml:space="preserve">114 (1.9) </w:t>
      </w:r>
      <w:r>
        <w:rPr>
          <w:b w:val="0"/>
          <w:i w:val="0"/>
        </w:rPr>
        <w:t xml:space="preserve">≥ </w:t>
      </w:r>
      <w:r>
        <w:rPr>
          <w:b w:val="0"/>
          <w:i w:val="0"/>
        </w:rPr>
        <w:t xml:space="preserve">60 to &lt; 100 </w:t>
      </w:r>
      <w:r>
        <w:rPr>
          <w:b w:val="0"/>
          <w:i w:val="0"/>
        </w:rPr>
        <w:t xml:space="preserve">102 (1.7) </w:t>
      </w:r>
      <w:r>
        <w:rPr>
          <w:b w:val="0"/>
          <w:i w:val="0"/>
        </w:rPr>
        <w:t>≥ 100</w:t>
      </w:r>
      <w:r>
        <w:rPr>
          <w:b w:val="0"/>
          <w:i w:val="0"/>
        </w:rPr>
        <w:t xml:space="preserve"> </w:t>
      </w:r>
      <w:r>
        <w:rPr>
          <w:b w:val="0"/>
          <w:i w:val="0"/>
        </w:rPr>
        <w:t xml:space="preserve">108 (1.8) </w:t>
      </w:r>
      <w:r>
        <w:rPr>
          <w:b w:val="0"/>
          <w:i w:val="0"/>
        </w:rPr>
        <w:t xml:space="preserve">Maintenance </w:t>
      </w:r>
      <w:r>
        <w:rPr>
          <w:b w:val="0"/>
          <w:i w:val="0"/>
        </w:rPr>
        <w:t xml:space="preserve">≥ </w:t>
      </w:r>
      <w:r>
        <w:rPr>
          <w:b w:val="0"/>
          <w:i w:val="0"/>
        </w:rPr>
        <w:t xml:space="preserve">5 to &lt; 10 </w:t>
      </w:r>
      <w:r>
        <w:rPr>
          <w:b w:val="0"/>
          <w:i w:val="0"/>
        </w:rPr>
        <w:t xml:space="preserve">113 (1.9) </w:t>
      </w:r>
      <w:r>
        <w:rPr>
          <w:b w:val="0"/>
          <w:i w:val="0"/>
        </w:rPr>
        <w:t xml:space="preserve">31.5 </w:t>
      </w:r>
      <w:r>
        <w:rPr>
          <w:b w:val="0"/>
          <w:i w:val="0"/>
        </w:rPr>
        <w:t xml:space="preserve">≥ </w:t>
      </w:r>
      <w:r>
        <w:rPr>
          <w:b w:val="0"/>
          <w:i w:val="0"/>
        </w:rPr>
        <w:t xml:space="preserve">10 to &lt; 20 </w:t>
      </w:r>
      <w:r>
        <w:rPr>
          <w:b w:val="0"/>
          <w:i w:val="0"/>
        </w:rPr>
        <w:t xml:space="preserve">113 (1.9) </w:t>
      </w:r>
      <w:r>
        <w:rPr>
          <w:b w:val="0"/>
          <w:i w:val="0"/>
        </w:rPr>
        <w:t xml:space="preserve">63.1 </w:t>
      </w:r>
      <w:r>
        <w:rPr>
          <w:b w:val="0"/>
          <w:i w:val="0"/>
        </w:rPr>
        <w:t xml:space="preserve">≥ </w:t>
      </w:r>
      <w:r>
        <w:rPr>
          <w:b w:val="0"/>
          <w:i w:val="0"/>
        </w:rPr>
        <w:t xml:space="preserve">20 to &lt; 30 </w:t>
      </w:r>
      <w:r>
        <w:rPr>
          <w:b w:val="0"/>
          <w:i w:val="0"/>
        </w:rPr>
        <w:t xml:space="preserve">194 (3.3) </w:t>
      </w:r>
      <w:r>
        <w:rPr>
          <w:b w:val="0"/>
          <w:i w:val="0"/>
        </w:rPr>
        <w:t xml:space="preserve">127.2 </w:t>
      </w:r>
      <w:r>
        <w:rPr>
          <w:b w:val="0"/>
          <w:i w:val="0"/>
        </w:rPr>
        <w:t xml:space="preserve">≥ </w:t>
      </w:r>
      <w:r>
        <w:rPr>
          <w:b w:val="0"/>
          <w:i w:val="0"/>
        </w:rPr>
        <w:t xml:space="preserve">30 to &lt; 40 </w:t>
      </w:r>
      <w:r>
        <w:rPr>
          <w:b w:val="0"/>
          <w:i w:val="0"/>
        </w:rPr>
        <w:t xml:space="preserve">167 (2.8) </w:t>
      </w:r>
      <w:r>
        <w:rPr>
          <w:b w:val="0"/>
          <w:i w:val="0"/>
        </w:rPr>
        <w:t xml:space="preserve">192.8 </w:t>
      </w:r>
      <w:r>
        <w:rPr>
          <w:b w:val="0"/>
          <w:i w:val="0"/>
        </w:rPr>
        <w:t xml:space="preserve">≥ </w:t>
      </w:r>
      <w:r>
        <w:rPr>
          <w:b w:val="0"/>
          <w:i w:val="0"/>
        </w:rPr>
        <w:t xml:space="preserve">40 to &lt; 60 </w:t>
      </w:r>
      <w:r>
        <w:rPr>
          <w:b w:val="0"/>
          <w:i w:val="0"/>
        </w:rPr>
        <w:t xml:space="preserve">140 (2.4) </w:t>
      </w:r>
      <w:r>
        <w:rPr>
          <w:b w:val="0"/>
          <w:i w:val="0"/>
        </w:rPr>
        <w:t xml:space="preserve">≥ </w:t>
      </w:r>
      <w:r>
        <w:rPr>
          <w:b w:val="0"/>
          <w:i w:val="0"/>
        </w:rPr>
        <w:t xml:space="preserve">60 to &lt; 100 </w:t>
      </w:r>
      <w:r>
        <w:rPr>
          <w:b w:val="0"/>
          <w:i w:val="0"/>
        </w:rPr>
        <w:t xml:space="preserve">120 (2.0) </w:t>
      </w:r>
      <w:r>
        <w:rPr>
          <w:b w:val="0"/>
          <w:i w:val="0"/>
        </w:rPr>
        <w:t>≥ 100</w:t>
      </w:r>
      <w:r>
        <w:rPr>
          <w:b w:val="0"/>
          <w:i w:val="0"/>
        </w:rPr>
        <w:t xml:space="preserve"> </w:t>
      </w:r>
      <w:r>
        <w:rPr>
          <w:b w:val="0"/>
          <w:i w:val="0"/>
        </w:rPr>
        <w:t xml:space="preserve">132 (2.2) </w:t>
      </w:r>
      <w:r>
        <w:rPr>
          <w:b w:val="0"/>
          <w:i w:val="0"/>
        </w:rPr>
        <w:t xml:space="preserve">Please refer to the Pharmacy Manual for additional dose preparation instructions.  </w:t>
      </w:r>
      <w:r>
        <w:rPr>
          <w:b w:val="0"/>
          <w:i w:val="0"/>
        </w:rPr>
        <w:t>a</w:t>
      </w:r>
      <w:r>
        <w:rPr>
          <w:b w:val="0"/>
          <w:i w:val="0"/>
        </w:rPr>
        <w:t xml:space="preserve"> Body weight as recorded on Dose Regimen Decision Days. If the Dose Regimen Day is also dosing day, body </w:t>
      </w:r>
      <w:r>
        <w:rPr>
          <w:b w:val="0"/>
          <w:i w:val="0"/>
        </w:rPr>
        <w:t xml:space="preserve">weight will be recorded predose with dosing that day based on the previous Dose Regimen Day body weight. </w:t>
      </w:r>
    </w:p>
    <w:p>
      <w:r>
        <w:rPr>
          <w:b w:val="0"/>
          <w:i w:val="0"/>
        </w:rPr>
        <w:t xml:space="preserve">Doses of study drug must only be prepared and dispensed by qualified study personnel. Study </w:t>
      </w:r>
      <w:r>
        <w:rPr>
          <w:b w:val="0"/>
          <w:i w:val="0"/>
        </w:rPr>
        <w:t xml:space="preserve">drug is to be dispensed only to enrolled patients who are confirmed eligible for participation in </w:t>
      </w:r>
      <w:r>
        <w:rPr>
          <w:b w:val="0"/>
          <w:i w:val="0"/>
        </w:rPr>
        <w:t xml:space="preserve">this study. Once study drug is prepared for a patient, it can only be administered to that patient. </w:t>
      </w:r>
      <w:r>
        <w:rPr>
          <w:b w:val="0"/>
          <w:i w:val="0"/>
        </w:rPr>
        <w:t xml:space="preserve">Vials of study drug are for one-time use only and any drug product remaining in the vial should </w:t>
      </w:r>
      <w:r>
        <w:rPr>
          <w:b w:val="0"/>
          <w:i w:val="0"/>
        </w:rPr>
        <w:t xml:space="preserve">not be used for another patient. Any drug remaining in the infusion tubing or infusion bag should </w:t>
      </w:r>
      <w:r>
        <w:rPr>
          <w:b w:val="0"/>
          <w:i w:val="0"/>
        </w:rPr>
        <w:t xml:space="preserve">not be used for another patient. </w:t>
      </w:r>
      <w:r>
        <w:rPr>
          <w:b w:val="0"/>
          <w:i w:val="0"/>
        </w:rPr>
        <w:t xml:space="preserve">Further details on preparation and dose administration of ALXN1210, as well as disposal of </w:t>
      </w:r>
      <w:r>
        <w:rPr>
          <w:b w:val="0"/>
          <w:i w:val="0"/>
        </w:rPr>
        <w:t xml:space="preserve">study drug, can be found in the Pharmacy Manual.  </w:t>
      </w:r>
    </w:p>
    <w:p>
      <w:r>
        <w:rPr>
          <w:b/>
        </w:rPr>
        <w:t>9.1.5.</w:t>
      </w:r>
    </w:p>
    <w:p>
      <w:r>
        <w:rPr>
          <w:b/>
        </w:rPr>
        <w:t>Study Drug Handling and Disposal</w:t>
      </w:r>
    </w:p>
    <w:p>
      <w:r>
        <w:rPr>
          <w:b w:val="0"/>
          <w:i w:val="0"/>
        </w:rPr>
        <w:t xml:space="preserve">All clinical study material provided to the Investigator will be stored in a secure place, and </w:t>
      </w:r>
      <w:r>
        <w:rPr>
          <w:b w:val="0"/>
          <w:i w:val="0"/>
        </w:rPr>
        <w:t xml:space="preserve">allocated and dispensed by appropriately trained persons. Detailed records of the amounts of the </w:t>
      </w:r>
      <w:r>
        <w:rPr>
          <w:b w:val="0"/>
          <w:i w:val="0"/>
        </w:rPr>
        <w:t xml:space="preserve">investigational product received, dispensed, and destroyed will be maintained. </w:t>
      </w:r>
    </w:p>
    <w:p>
      <w:r>
        <w:rPr>
          <w:b w:val="0"/>
          <w:i w:val="0"/>
        </w:rPr>
        <w:t xml:space="preserve">Alexion Pharmaceuticals, Inc. </w:t>
      </w:r>
      <w:r>
        <w:rPr>
          <w:b w:val="0"/>
          <w:i w:val="0"/>
        </w:rPr>
        <w:t xml:space="preserve">Amendment 6 (Global) 16 Jul 2019 </w:t>
      </w:r>
    </w:p>
    <w:p>
      <w:r>
        <w:rPr>
          <w:b w:val="0"/>
          <w:i w:val="0"/>
        </w:rPr>
        <w:t xml:space="preserve">Unless otherwise notified, empty vials and vials with residual materials should be kept for </w:t>
      </w:r>
      <w:r>
        <w:rPr>
          <w:b w:val="0"/>
          <w:i w:val="0"/>
        </w:rPr>
        <w:t xml:space="preserve">inspection and accountability by the study monitor prior to their destruction or handled per local </w:t>
      </w:r>
      <w:r>
        <w:rPr>
          <w:b w:val="0"/>
          <w:i w:val="0"/>
        </w:rPr>
        <w:t xml:space="preserve">pharmacy standard operating procedures (SOPs) for clinical study drugs. To satisfy regulatory </w:t>
      </w:r>
      <w:r>
        <w:rPr>
          <w:b w:val="0"/>
          <w:i w:val="0"/>
        </w:rPr>
        <w:t xml:space="preserve">requirements regarding drug accountability, at the end of the study all remaining ALXN1210 </w:t>
      </w:r>
      <w:r>
        <w:rPr>
          <w:b w:val="0"/>
          <w:i w:val="0"/>
        </w:rPr>
        <w:t xml:space="preserve">inventory will be reconciled and destroyed or returned to Alexion or designee according to </w:t>
      </w:r>
      <w:r>
        <w:rPr>
          <w:b w:val="0"/>
          <w:i w:val="0"/>
        </w:rPr>
        <w:t xml:space="preserve">applicable regulations. </w:t>
      </w:r>
      <w:r>
        <w:rPr>
          <w:b w:val="0"/>
          <w:i w:val="0"/>
        </w:rPr>
        <w:t xml:space="preserve">Please refer to the ALXN1210-aHUS-312 Pharmacy Manual for further information. </w:t>
      </w:r>
    </w:p>
    <w:p>
      <w:r>
        <w:rPr>
          <w:b/>
        </w:rPr>
        <w:t>9.2.</w:t>
      </w:r>
    </w:p>
    <w:p>
      <w:r>
        <w:rPr>
          <w:b/>
        </w:rPr>
        <w:t>Treatments Administered</w:t>
      </w:r>
    </w:p>
    <w:p>
      <w:r>
        <w:rPr>
          <w:b w:val="0"/>
          <w:i w:val="0"/>
        </w:rPr>
        <w:t xml:space="preserve">Patients will receive ALXN1210 for 26 weeks during the Initial Evaluation Period. ALXN1210 </w:t>
      </w:r>
    </w:p>
    <w:p>
      <w:r>
        <w:rPr>
          <w:b w:val="0"/>
          <w:i w:val="0"/>
        </w:rPr>
        <w:t xml:space="preserve">will be administered as an IV infusion. </w:t>
      </w:r>
      <w:r>
        <w:rPr>
          <w:b/>
          <w:i w:val="0"/>
        </w:rPr>
        <w:t xml:space="preserve">ALXN1210 must NOT be administered as an IV push </w:t>
      </w:r>
    </w:p>
    <w:p>
      <w:r>
        <w:rPr>
          <w:b/>
        </w:rPr>
        <w:t>or bolus injection.</w:t>
      </w:r>
    </w:p>
    <w:p>
      <w:r>
        <w:rPr>
          <w:b w:val="0"/>
          <w:i w:val="0"/>
        </w:rPr>
        <w:t xml:space="preserve">The dose regimen for ALXN1210 during the Initial Evaluation Period is based on the patient’s </w:t>
      </w:r>
      <w:r>
        <w:rPr>
          <w:b w:val="0"/>
          <w:i w:val="0"/>
        </w:rPr>
        <w:t>body weight recorded on Dose Regimen Decision Days (</w:t>
      </w:r>
      <w:r>
        <w:rPr>
          <w:b w:val="0"/>
          <w:i w:val="0"/>
        </w:rPr>
        <w:t>Table 7</w:t>
      </w:r>
      <w:r>
        <w:rPr>
          <w:b w:val="0"/>
          <w:i w:val="0"/>
        </w:rPr>
        <w:t xml:space="preserve">). If the Dose Regimen Day is </w:t>
      </w:r>
      <w:r>
        <w:rPr>
          <w:b w:val="0"/>
          <w:i w:val="0"/>
        </w:rPr>
        <w:t xml:space="preserve">also dosing day, body weight will be recorded predose with dosing that day based on the </w:t>
      </w:r>
      <w:r>
        <w:rPr>
          <w:b w:val="0"/>
          <w:i w:val="0"/>
        </w:rPr>
        <w:t xml:space="preserve">previous Dose Regimen Day body weight. Patients will receive a loading dose of ALXN1210 on </w:t>
      </w:r>
      <w:r>
        <w:rPr>
          <w:b w:val="0"/>
          <w:i w:val="0"/>
        </w:rPr>
        <w:t xml:space="preserve">Day 1, followed by maintenance dosing of ALXN1210 on Day 15 and q8w thereafter for patients </w:t>
      </w:r>
      <w:r>
        <w:rPr>
          <w:b w:val="0"/>
          <w:i w:val="0"/>
        </w:rPr>
        <w:t xml:space="preserve">weighing </w:t>
      </w:r>
      <w:r>
        <w:rPr>
          <w:b w:val="0"/>
          <w:i w:val="0"/>
        </w:rPr>
        <w:t>≥</w:t>
      </w:r>
      <w:r>
        <w:rPr>
          <w:b w:val="0"/>
          <w:i w:val="0"/>
        </w:rPr>
        <w:t xml:space="preserve"> 20 kg, or q4w for patients weighing &lt; 20 kg. For Cohort 2 patients, Day 1 of study </w:t>
      </w:r>
      <w:r>
        <w:rPr>
          <w:b w:val="0"/>
          <w:i w:val="0"/>
        </w:rPr>
        <w:t xml:space="preserve">treatment will occur 14 days from the patient’s last dose of eculizumab. Changes in dose regimen </w:t>
      </w:r>
      <w:r>
        <w:rPr>
          <w:b w:val="0"/>
          <w:i w:val="0"/>
        </w:rPr>
        <w:t xml:space="preserve">(dose level [ie, mg] or dose frequency [ie, q4w vs q8w]) will be based on the patient’s body </w:t>
      </w:r>
      <w:r>
        <w:rPr>
          <w:b w:val="0"/>
          <w:i w:val="0"/>
        </w:rPr>
        <w:t>weight on the “Dose Regimen Decision Day” (</w:t>
      </w:r>
      <w:r>
        <w:rPr>
          <w:b w:val="0"/>
          <w:i w:val="0"/>
        </w:rPr>
        <w:t>Table 1</w:t>
      </w:r>
      <w:r>
        <w:rPr>
          <w:b w:val="0"/>
          <w:i w:val="0"/>
        </w:rPr>
        <w:t xml:space="preserve">, </w:t>
      </w:r>
      <w:r>
        <w:rPr>
          <w:b w:val="0"/>
          <w:i w:val="0"/>
        </w:rPr>
        <w:t>Table 2</w:t>
      </w:r>
      <w:r>
        <w:rPr>
          <w:b w:val="0"/>
          <w:i w:val="0"/>
        </w:rPr>
        <w:t>,</w:t>
      </w:r>
      <w:r>
        <w:rPr>
          <w:b w:val="0"/>
          <w:i w:val="0"/>
        </w:rPr>
        <w:t xml:space="preserve"> Table 3</w:t>
      </w:r>
      <w:r>
        <w:rPr>
          <w:b w:val="0"/>
          <w:i w:val="0"/>
        </w:rPr>
        <w:t xml:space="preserve">, and </w:t>
      </w:r>
      <w:r>
        <w:rPr>
          <w:b w:val="0"/>
          <w:i w:val="0"/>
        </w:rPr>
        <w:t>Table 4</w:t>
      </w:r>
      <w:r>
        <w:rPr>
          <w:b w:val="0"/>
          <w:i w:val="0"/>
        </w:rPr>
        <w:t xml:space="preserve">) as </w:t>
      </w:r>
      <w:r>
        <w:rPr>
          <w:b w:val="0"/>
          <w:i w:val="0"/>
        </w:rPr>
        <w:t xml:space="preserve">follows:  </w:t>
      </w:r>
    </w:p>
    <w:p>
      <w:pPr>
        <w:pStyle w:val="ListBullet"/>
      </w:pPr>
      <w:r>
        <w:t>During the Initial Evaluation Period, changes to dose regimen (dose level [ie, mg] or dose frequency [ie, q4w vs q8w]) will be based on the patient’s body weight on the “Dose Regimen Decision Day (patients on q4w or q8w schedules)” preceding the day of administration.</w:t>
      </w:r>
    </w:p>
    <w:p>
      <w:r>
        <w:rPr>
          <w:b w:val="0"/>
          <w:i w:val="0"/>
        </w:rPr>
        <w:t>−</w:t>
      </w:r>
      <w:r>
        <w:rPr>
          <w:b w:val="0"/>
          <w:i w:val="0"/>
        </w:rPr>
        <w:t xml:space="preserve"> </w:t>
      </w:r>
      <w:r>
        <w:rPr>
          <w:b w:val="0"/>
          <w:i w:val="0"/>
        </w:rPr>
        <w:t xml:space="preserve">Patients changing from q4w to q8w will be administered their first q8w dose on </w:t>
      </w:r>
      <w:r>
        <w:rPr>
          <w:b w:val="0"/>
          <w:i w:val="0"/>
        </w:rPr>
        <w:t xml:space="preserve">the ALXN1210 administration day (“ALXN1210 administration [patients </w:t>
      </w:r>
      <w:r>
        <w:rPr>
          <w:b w:val="0"/>
          <w:i w:val="0"/>
        </w:rPr>
        <w:t xml:space="preserve">weighing &gt; 20 kg]”) following the “Dose Regimen Decision Day (patients on </w:t>
      </w:r>
      <w:r>
        <w:rPr>
          <w:b w:val="0"/>
          <w:i w:val="0"/>
        </w:rPr>
        <w:t xml:space="preserve">q4w or q8w schedules)”.  </w:t>
      </w:r>
    </w:p>
    <w:p>
      <w:r>
        <w:rPr>
          <w:b w:val="0"/>
          <w:i w:val="0"/>
        </w:rPr>
        <w:t>−</w:t>
      </w:r>
      <w:r>
        <w:rPr>
          <w:b w:val="0"/>
          <w:i w:val="0"/>
        </w:rPr>
        <w:t xml:space="preserve"> </w:t>
      </w:r>
      <w:r>
        <w:rPr>
          <w:b w:val="0"/>
          <w:i w:val="0"/>
        </w:rPr>
        <w:t xml:space="preserve">Patients changing from q8w to q4w will be administered their first q4w dose on </w:t>
      </w:r>
      <w:r>
        <w:rPr>
          <w:b w:val="0"/>
          <w:i w:val="0"/>
        </w:rPr>
        <w:t xml:space="preserve">the ALXN1210 administration day (“ALXN1210 administration [patients </w:t>
      </w:r>
      <w:r>
        <w:rPr>
          <w:b w:val="0"/>
          <w:i w:val="0"/>
        </w:rPr>
        <w:t xml:space="preserve">weighing &lt; 20 kg]”) following the “Dose Regimen Decision Day (patients on </w:t>
      </w:r>
      <w:r>
        <w:rPr>
          <w:b w:val="0"/>
          <w:i w:val="0"/>
        </w:rPr>
        <w:t xml:space="preserve">q4w or q8w schedules)”. </w:t>
      </w:r>
    </w:p>
    <w:p>
      <w:pPr>
        <w:pStyle w:val="ListBullet"/>
      </w:pPr>
      <w:r>
        <w:t>During the Extension Period, the dose of ALXN1210 is based on the patient’s body weight on the preceding “Dose Regimen Decision Day (patients on q4w schedule)” or “Dose Regimen Decision Day (patients on q8w schedule)”.</w:t>
      </w:r>
    </w:p>
    <w:p>
      <w:r>
        <w:rPr>
          <w:b w:val="0"/>
          <w:i w:val="0"/>
        </w:rPr>
        <w:t>−</w:t>
      </w:r>
      <w:r>
        <w:rPr>
          <w:b w:val="0"/>
          <w:i w:val="0"/>
        </w:rPr>
        <w:t xml:space="preserve"> </w:t>
      </w:r>
      <w:r>
        <w:rPr>
          <w:b w:val="0"/>
          <w:i w:val="0"/>
        </w:rPr>
        <w:t xml:space="preserve">For patients on a q4w schedule: Predose body weight will be measured before </w:t>
      </w:r>
      <w:r>
        <w:rPr>
          <w:b w:val="0"/>
          <w:i w:val="0"/>
        </w:rPr>
        <w:t xml:space="preserve">dosing on the Dose Regimen Decision Day (patients on q4w schedule). Should </w:t>
      </w:r>
      <w:r>
        <w:rPr>
          <w:b w:val="0"/>
          <w:i w:val="0"/>
        </w:rPr>
        <w:t xml:space="preserve">this weight change the dose regimen (dose level [ie, mg] or dose frequency [ie, </w:t>
      </w:r>
      <w:r>
        <w:rPr>
          <w:b w:val="0"/>
          <w:i w:val="0"/>
        </w:rPr>
        <w:t xml:space="preserve">q4w vs q8w]), the change will occur on the visit 4 weeks later. Patients changing </w:t>
      </w:r>
      <w:r>
        <w:rPr>
          <w:b w:val="0"/>
          <w:i w:val="0"/>
        </w:rPr>
        <w:t xml:space="preserve">from q4w to q8w will be administered their first q8w dose on the ALXN1210 </w:t>
      </w:r>
      <w:r>
        <w:rPr>
          <w:b w:val="0"/>
          <w:i w:val="0"/>
        </w:rPr>
        <w:t xml:space="preserve">Alexion Pharmaceuticals, Inc. </w:t>
      </w:r>
      <w:r>
        <w:rPr>
          <w:b w:val="0"/>
          <w:i w:val="0"/>
        </w:rPr>
        <w:t xml:space="preserve">Amendment 6 (Global) 16 Jul 2019 </w:t>
      </w:r>
    </w:p>
    <w:p>
      <w:r>
        <w:rPr>
          <w:b w:val="0"/>
          <w:i w:val="0"/>
        </w:rPr>
        <w:t xml:space="preserve">administration day (“ALXN1210 administration [patients weighing &gt; 20 kg]”) </w:t>
      </w:r>
      <w:r>
        <w:rPr>
          <w:b w:val="0"/>
          <w:i w:val="0"/>
        </w:rPr>
        <w:t xml:space="preserve">following the “Dose Regimen Decision Day (patients on q4w schedule)”. </w:t>
      </w:r>
    </w:p>
    <w:p>
      <w:r>
        <w:rPr>
          <w:b w:val="0"/>
          <w:i w:val="0"/>
        </w:rPr>
        <w:t>−</w:t>
      </w:r>
      <w:r>
        <w:rPr>
          <w:b w:val="0"/>
          <w:i w:val="0"/>
        </w:rPr>
        <w:t xml:space="preserve"> </w:t>
      </w:r>
      <w:r>
        <w:rPr>
          <w:b w:val="0"/>
          <w:i w:val="0"/>
        </w:rPr>
        <w:t xml:space="preserve">For patients on a q8w schedule: Predose body weight will be measured before </w:t>
      </w:r>
      <w:r>
        <w:rPr>
          <w:b w:val="0"/>
          <w:i w:val="0"/>
        </w:rPr>
        <w:t xml:space="preserve">dosing on the Dose Regimen Decision Day (patients on q8w schedule). Should </w:t>
      </w:r>
      <w:r>
        <w:rPr>
          <w:b w:val="0"/>
          <w:i w:val="0"/>
        </w:rPr>
        <w:t xml:space="preserve">this weight change the dose regimen (dose level [ie, mg] or dose frequency [ie, </w:t>
      </w:r>
      <w:r>
        <w:rPr>
          <w:b w:val="0"/>
          <w:i w:val="0"/>
        </w:rPr>
        <w:t xml:space="preserve">q4w vs q8w]), the change will occur on the visit 8 weeks later. Patients changing </w:t>
      </w:r>
      <w:r>
        <w:rPr>
          <w:b w:val="0"/>
          <w:i w:val="0"/>
        </w:rPr>
        <w:t xml:space="preserve">from q8w to q4w will be administered their first q4w dose on the ALXN1210 </w:t>
      </w:r>
      <w:r>
        <w:rPr>
          <w:b w:val="0"/>
          <w:i w:val="0"/>
        </w:rPr>
        <w:t xml:space="preserve">administration day (“ALXN1210 administration [patients weighing &lt; 20 kg]”) </w:t>
      </w:r>
      <w:r>
        <w:rPr>
          <w:b w:val="0"/>
          <w:i w:val="0"/>
        </w:rPr>
        <w:t xml:space="preserve">8 weeks after the “Dose Regimen Decision Day (patients on q8w schedule)”. </w:t>
      </w:r>
    </w:p>
    <w:p>
      <w:pPr>
        <w:pStyle w:val="ListBullet"/>
      </w:pPr>
      <w:r>
        <w:t>If the Investigator and Alexion Medical Monitor mutually agree that a patient will potentially benefit from a supplemental dose of ALXN1210, it may be administered and the decision will be documented.</w:t>
      </w:r>
    </w:p>
    <w:p>
      <w:pPr>
        <w:pStyle w:val="ListBullet"/>
      </w:pPr>
      <w:r>
        <w:t>Should the Investigator and Alexion Medical Monitor mutually agree the infusion volume (120 mL) of the loading dose for patients ≥ 5 to &lt; 10 kg (600 mg) is too high for an individual patient, this dose may be administered as 2 separate infusions no more than approximately 24 hours apart and the decision will be documented.</w:t>
      </w:r>
    </w:p>
    <w:p>
      <w:r>
        <w:rPr>
          <w:b/>
        </w:rPr>
        <w:t>Table 7:</w:t>
      </w:r>
    </w:p>
    <w:p>
      <w:r>
        <w:rPr>
          <w:b/>
        </w:rPr>
        <w:t>Loading and Maintenance Treatment Regimens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Body Weight</w:t>
              <w:br/>
              <w:t>Range (kg)a</w:t>
            </w:r>
          </w:p>
        </w:tc>
        <w:tc>
          <w:tcPr>
            <w:tcW w:type="dxa" w:w="2160"/>
          </w:tcPr>
          <w:p>
            <w:r>
              <w:t>Loading Dose (mg)</w:t>
            </w:r>
          </w:p>
        </w:tc>
        <w:tc>
          <w:tcPr>
            <w:tcW w:type="dxa" w:w="2160"/>
          </w:tcPr>
          <w:p>
            <w:r>
              <w:t>Maintenance Doses (mg)</w:t>
            </w:r>
          </w:p>
        </w:tc>
        <w:tc>
          <w:tcPr>
            <w:tcW w:type="dxa" w:w="2160"/>
          </w:tcPr>
          <w:p>
            <w:r>
              <w:t>Maintenance Dosing Frequency</w:t>
            </w:r>
          </w:p>
        </w:tc>
      </w:tr>
      <w:tr>
        <w:tc>
          <w:tcPr>
            <w:tcW w:type="dxa" w:w="2160"/>
          </w:tcPr>
          <w:p>
            <w:r>
              <w:t>≥ 5 to &lt; 10</w:t>
            </w:r>
          </w:p>
        </w:tc>
        <w:tc>
          <w:tcPr>
            <w:tcW w:type="dxa" w:w="2160"/>
          </w:tcPr>
          <w:p>
            <w:r>
              <w:t>600</w:t>
            </w:r>
          </w:p>
        </w:tc>
        <w:tc>
          <w:tcPr>
            <w:tcW w:type="dxa" w:w="2160"/>
          </w:tcPr>
          <w:p>
            <w:r>
              <w:t>300</w:t>
            </w:r>
          </w:p>
        </w:tc>
        <w:tc>
          <w:tcPr>
            <w:tcW w:type="dxa" w:w="2160"/>
          </w:tcPr>
          <w:p>
            <w:r>
              <w:t>q4w</w:t>
            </w:r>
          </w:p>
        </w:tc>
      </w:tr>
      <w:tr>
        <w:tc>
          <w:tcPr>
            <w:tcW w:type="dxa" w:w="2160"/>
          </w:tcPr>
          <w:p>
            <w:r>
              <w:t>≥ 10 to &lt; 20</w:t>
            </w:r>
          </w:p>
        </w:tc>
        <w:tc>
          <w:tcPr>
            <w:tcW w:type="dxa" w:w="2160"/>
          </w:tcPr>
          <w:p>
            <w:r>
              <w:t>600</w:t>
            </w:r>
          </w:p>
        </w:tc>
        <w:tc>
          <w:tcPr>
            <w:tcW w:type="dxa" w:w="2160"/>
          </w:tcPr>
          <w:p>
            <w:r>
              <w:t>600</w:t>
            </w:r>
          </w:p>
        </w:tc>
        <w:tc>
          <w:tcPr>
            <w:tcW w:type="dxa" w:w="2160"/>
          </w:tcPr>
          <w:p>
            <w:r>
              <w:t>q4w</w:t>
            </w:r>
          </w:p>
        </w:tc>
      </w:tr>
      <w:tr>
        <w:tc>
          <w:tcPr>
            <w:tcW w:type="dxa" w:w="2160"/>
          </w:tcPr>
          <w:p>
            <w:r>
              <w:t>≥ 20 to &lt; 30</w:t>
            </w:r>
          </w:p>
        </w:tc>
        <w:tc>
          <w:tcPr>
            <w:tcW w:type="dxa" w:w="2160"/>
          </w:tcPr>
          <w:p>
            <w:r>
              <w:t>900</w:t>
            </w:r>
          </w:p>
        </w:tc>
        <w:tc>
          <w:tcPr>
            <w:tcW w:type="dxa" w:w="2160"/>
          </w:tcPr>
          <w:p>
            <w:r>
              <w:t>2100</w:t>
            </w:r>
          </w:p>
        </w:tc>
        <w:tc>
          <w:tcPr>
            <w:tcW w:type="dxa" w:w="2160"/>
          </w:tcPr>
          <w:p>
            <w:r>
              <w:t>q8w</w:t>
            </w:r>
          </w:p>
        </w:tc>
      </w:tr>
      <w:tr>
        <w:tc>
          <w:tcPr>
            <w:tcW w:type="dxa" w:w="2160"/>
          </w:tcPr>
          <w:p>
            <w:r>
              <w:t>≥ 30 to &lt; 40</w:t>
            </w:r>
          </w:p>
        </w:tc>
        <w:tc>
          <w:tcPr>
            <w:tcW w:type="dxa" w:w="2160"/>
          </w:tcPr>
          <w:p>
            <w:r>
              <w:t>1200</w:t>
            </w:r>
          </w:p>
        </w:tc>
        <w:tc>
          <w:tcPr>
            <w:tcW w:type="dxa" w:w="2160"/>
          </w:tcPr>
          <w:p>
            <w:r>
              <w:t>2700</w:t>
            </w:r>
          </w:p>
        </w:tc>
        <w:tc>
          <w:tcPr>
            <w:tcW w:type="dxa" w:w="2160"/>
          </w:tcPr>
          <w:p>
            <w:r>
              <w:t>q8w</w:t>
            </w:r>
          </w:p>
        </w:tc>
      </w:tr>
      <w:tr>
        <w:tc>
          <w:tcPr>
            <w:tcW w:type="dxa" w:w="2160"/>
          </w:tcPr>
          <w:p>
            <w:r>
              <w:t>≥ 40 to &lt; 60</w:t>
            </w:r>
          </w:p>
        </w:tc>
        <w:tc>
          <w:tcPr>
            <w:tcW w:type="dxa" w:w="2160"/>
          </w:tcPr>
          <w:p>
            <w:r>
              <w:t>2400</w:t>
            </w:r>
          </w:p>
        </w:tc>
        <w:tc>
          <w:tcPr>
            <w:tcW w:type="dxa" w:w="2160"/>
          </w:tcPr>
          <w:p>
            <w:r>
              <w:t>3000</w:t>
            </w:r>
          </w:p>
        </w:tc>
        <w:tc>
          <w:tcPr>
            <w:tcW w:type="dxa" w:w="2160"/>
          </w:tcPr>
          <w:p>
            <w:r>
              <w:t>q8w</w:t>
            </w:r>
          </w:p>
        </w:tc>
      </w:tr>
      <w:tr>
        <w:tc>
          <w:tcPr>
            <w:tcW w:type="dxa" w:w="2160"/>
          </w:tcPr>
          <w:p>
            <w:r>
              <w:t>≥ 60 to &lt; 100</w:t>
            </w:r>
          </w:p>
        </w:tc>
        <w:tc>
          <w:tcPr>
            <w:tcW w:type="dxa" w:w="2160"/>
          </w:tcPr>
          <w:p>
            <w:r>
              <w:t>2700</w:t>
            </w:r>
          </w:p>
        </w:tc>
        <w:tc>
          <w:tcPr>
            <w:tcW w:type="dxa" w:w="2160"/>
          </w:tcPr>
          <w:p>
            <w:r>
              <w:t>3300</w:t>
            </w:r>
          </w:p>
        </w:tc>
        <w:tc>
          <w:tcPr>
            <w:tcW w:type="dxa" w:w="2160"/>
          </w:tcPr>
          <w:p>
            <w:r>
              <w:t>q8w</w:t>
            </w:r>
          </w:p>
        </w:tc>
      </w:tr>
      <w:tr>
        <w:tc>
          <w:tcPr>
            <w:tcW w:type="dxa" w:w="2160"/>
          </w:tcPr>
          <w:p>
            <w:r>
              <w:t>≥ 100</w:t>
            </w:r>
          </w:p>
        </w:tc>
        <w:tc>
          <w:tcPr>
            <w:tcW w:type="dxa" w:w="2160"/>
          </w:tcPr>
          <w:p>
            <w:r>
              <w:t>3000</w:t>
            </w:r>
          </w:p>
        </w:tc>
        <w:tc>
          <w:tcPr>
            <w:tcW w:type="dxa" w:w="2160"/>
          </w:tcPr>
          <w:p>
            <w:r>
              <w:t>3600</w:t>
            </w:r>
          </w:p>
        </w:tc>
        <w:tc>
          <w:tcPr>
            <w:tcW w:type="dxa" w:w="2160"/>
          </w:tcPr>
          <w:p>
            <w:r>
              <w:t>q8w</w:t>
            </w:r>
          </w:p>
        </w:tc>
      </w:tr>
    </w:tbl>
    <w:p>
      <w:r>
        <w:rPr>
          <w:b/>
          <w:i w:val="0"/>
        </w:rPr>
        <w:t xml:space="preserve">Body Weight </w:t>
      </w:r>
      <w:r>
        <w:rPr>
          <w:b/>
          <w:i w:val="0"/>
        </w:rPr>
        <w:t xml:space="preserve">Loading Dose (mg) </w:t>
      </w:r>
      <w:r>
        <w:rPr>
          <w:b/>
          <w:i w:val="0"/>
        </w:rPr>
        <w:t xml:space="preserve">Maintenance Doses (mg) </w:t>
      </w:r>
      <w:r>
        <w:rPr>
          <w:b/>
          <w:i w:val="0"/>
        </w:rPr>
        <w:t xml:space="preserve">Maintenance Dosing Frequency  </w:t>
      </w:r>
      <w:r>
        <w:rPr>
          <w:b/>
          <w:i w:val="0"/>
        </w:rPr>
        <w:t>Range (kg)</w:t>
      </w:r>
      <w:r>
        <w:rPr>
          <w:b/>
          <w:i w:val="0"/>
        </w:rPr>
        <w:t>a</w:t>
      </w:r>
      <w:r>
        <w:rPr>
          <w:b/>
          <w:i w:val="0"/>
        </w:rPr>
        <w:t xml:space="preserve"> </w:t>
      </w:r>
      <w:r>
        <w:rPr>
          <w:b w:val="0"/>
          <w:i w:val="0"/>
        </w:rPr>
        <w:t>≥ 5 to &lt;</w:t>
      </w:r>
      <w:r>
        <w:rPr>
          <w:b w:val="0"/>
          <w:i w:val="0"/>
        </w:rPr>
        <w:t xml:space="preserve"> 10 </w:t>
      </w:r>
      <w:r>
        <w:rPr>
          <w:b w:val="0"/>
          <w:i w:val="0"/>
        </w:rPr>
        <w:t xml:space="preserve">q4w </w:t>
      </w:r>
      <w:r>
        <w:rPr>
          <w:b w:val="0"/>
          <w:i w:val="0"/>
        </w:rPr>
        <w:t>≥ 10 to &lt;</w:t>
      </w:r>
      <w:r>
        <w:rPr>
          <w:b w:val="0"/>
          <w:i w:val="0"/>
        </w:rPr>
        <w:t xml:space="preserve"> 20 </w:t>
      </w:r>
      <w:r>
        <w:rPr>
          <w:b w:val="0"/>
          <w:i w:val="0"/>
        </w:rPr>
        <w:t xml:space="preserve">q4w </w:t>
      </w:r>
      <w:r>
        <w:rPr>
          <w:b w:val="0"/>
          <w:i w:val="0"/>
        </w:rPr>
        <w:t>≥ 20 to &lt;</w:t>
      </w:r>
      <w:r>
        <w:rPr>
          <w:b w:val="0"/>
          <w:i w:val="0"/>
        </w:rPr>
        <w:t xml:space="preserve"> 30 </w:t>
      </w:r>
      <w:r>
        <w:rPr>
          <w:b w:val="0"/>
          <w:i w:val="0"/>
        </w:rPr>
        <w:t xml:space="preserve">q8w </w:t>
      </w:r>
      <w:r>
        <w:rPr>
          <w:b w:val="0"/>
          <w:i w:val="0"/>
        </w:rPr>
        <w:t>≥ 30 to &lt; 40</w:t>
      </w:r>
      <w:r>
        <w:rPr>
          <w:b w:val="0"/>
          <w:i w:val="0"/>
        </w:rPr>
        <w:t xml:space="preserve"> </w:t>
      </w:r>
      <w:r>
        <w:rPr>
          <w:b w:val="0"/>
          <w:i w:val="0"/>
        </w:rPr>
        <w:t xml:space="preserve">q8w </w:t>
      </w:r>
      <w:r>
        <w:rPr>
          <w:b w:val="0"/>
          <w:i w:val="0"/>
        </w:rPr>
        <w:t>≥ 40 to &lt; 60</w:t>
      </w:r>
      <w:r>
        <w:rPr>
          <w:b w:val="0"/>
          <w:i w:val="0"/>
        </w:rPr>
        <w:t xml:space="preserve"> </w:t>
      </w:r>
      <w:r>
        <w:rPr>
          <w:b w:val="0"/>
          <w:i w:val="0"/>
        </w:rPr>
        <w:t xml:space="preserve">q8w </w:t>
      </w:r>
      <w:r>
        <w:rPr>
          <w:b w:val="0"/>
          <w:i w:val="0"/>
        </w:rPr>
        <w:t>≥ 60 to &lt; 100</w:t>
      </w:r>
      <w:r>
        <w:rPr>
          <w:b w:val="0"/>
          <w:i w:val="0"/>
        </w:rPr>
        <w:t xml:space="preserve"> </w:t>
      </w:r>
      <w:r>
        <w:rPr>
          <w:b w:val="0"/>
          <w:i w:val="0"/>
        </w:rPr>
        <w:t xml:space="preserve">q8w </w:t>
      </w:r>
      <w:r>
        <w:rPr>
          <w:b w:val="0"/>
          <w:i w:val="0"/>
        </w:rPr>
        <w:t>≥ 100</w:t>
      </w:r>
      <w:r>
        <w:rPr>
          <w:b w:val="0"/>
          <w:i w:val="0"/>
        </w:rPr>
        <w:t xml:space="preserve"> </w:t>
      </w:r>
      <w:r>
        <w:rPr>
          <w:b w:val="0"/>
          <w:i w:val="0"/>
        </w:rPr>
        <w:t xml:space="preserve">q8w </w:t>
      </w:r>
      <w:r>
        <w:rPr>
          <w:b w:val="0"/>
          <w:i w:val="0"/>
        </w:rPr>
        <w:t>Abbreviations: q4w = once every 4 weeks; q8w = once every 8 weeks</w:t>
      </w:r>
      <w:r>
        <w:rPr>
          <w:b w:val="0"/>
          <w:i w:val="0"/>
        </w:rPr>
        <w:t xml:space="preserve">  </w:t>
      </w:r>
      <w:r>
        <w:rPr>
          <w:b w:val="0"/>
          <w:i w:val="0"/>
        </w:rPr>
        <w:t>a</w:t>
      </w:r>
      <w:r>
        <w:rPr>
          <w:b w:val="0"/>
          <w:i w:val="0"/>
        </w:rPr>
        <w:t xml:space="preserve"> Body weight as recorded on Dose Regimen Decision Days. If the Dose Regimen Day is also dosing day, body </w:t>
      </w:r>
      <w:r>
        <w:rPr>
          <w:b w:val="0"/>
          <w:i w:val="0"/>
        </w:rPr>
        <w:t xml:space="preserve">weight will be recorded predose with dosing that day based on the previous Dose Regimen Day body weight. </w:t>
      </w:r>
    </w:p>
    <w:p>
      <w:r>
        <w:rPr>
          <w:b w:val="0"/>
          <w:i w:val="0"/>
        </w:rPr>
        <w:t xml:space="preserve">After the Initial Evaluation Period, all patients will roll over into an Extension Period in which </w:t>
      </w:r>
      <w:r>
        <w:rPr>
          <w:b w:val="0"/>
          <w:i w:val="0"/>
        </w:rPr>
        <w:t xml:space="preserve">all patients continue their weight-based maintenance dose of ALXN1210 on Day 183 and q8w </w:t>
      </w:r>
      <w:r>
        <w:rPr>
          <w:b w:val="0"/>
          <w:i w:val="0"/>
        </w:rPr>
        <w:t xml:space="preserve">thereafter for patients weighing </w:t>
      </w:r>
      <w:r>
        <w:rPr>
          <w:b w:val="0"/>
          <w:i w:val="0"/>
        </w:rPr>
        <w:t>≥</w:t>
      </w:r>
      <w:r>
        <w:rPr>
          <w:b w:val="0"/>
          <w:i w:val="0"/>
        </w:rPr>
        <w:t xml:space="preserve"> 20 kg, or q4w for patients weighing &lt; 20 kg, until the product </w:t>
      </w:r>
      <w:r>
        <w:rPr>
          <w:b w:val="0"/>
          <w:i w:val="0"/>
        </w:rPr>
        <w:t xml:space="preserve">is registered or approved (in accordance with country-specific regulation) or for up to 4.5 years, </w:t>
      </w:r>
      <w:r>
        <w:rPr>
          <w:b w:val="0"/>
          <w:i w:val="0"/>
        </w:rPr>
        <w:t xml:space="preserve">whichever occurs first. </w:t>
      </w:r>
    </w:p>
    <w:p>
      <w:r>
        <w:rPr>
          <w:b w:val="0"/>
          <w:i w:val="0"/>
        </w:rPr>
        <w:t xml:space="preserve">The actual time of all dose administrations, including any supplemental dose or dose </w:t>
      </w:r>
      <w:r>
        <w:rPr>
          <w:b w:val="0"/>
          <w:i w:val="0"/>
        </w:rPr>
        <w:t xml:space="preserve">administered as 2 separate infusions as noted above, will be recorded in the patient’s eCRF. </w:t>
      </w:r>
    </w:p>
    <w:p>
      <w:r>
        <w:rPr>
          <w:b/>
        </w:rPr>
        <w:t>9.3.</w:t>
      </w:r>
    </w:p>
    <w:p>
      <w:r>
        <w:rPr>
          <w:b/>
        </w:rPr>
        <w:t>Method of Assignment to Treatment</w:t>
      </w:r>
    </w:p>
    <w:p>
      <w:r>
        <w:rPr>
          <w:b w:val="0"/>
          <w:i w:val="0"/>
        </w:rPr>
        <w:t xml:space="preserve">This is an open-label study. Patients who meet all criteria for enrollment will be assigned to </w:t>
      </w:r>
      <w:r>
        <w:rPr>
          <w:b w:val="0"/>
          <w:i w:val="0"/>
        </w:rPr>
        <w:t>study treatment with ALXN1210 at the Baseline Visit (Day 1). The interactive voice- or web-</w:t>
      </w:r>
      <w:r>
        <w:rPr>
          <w:b w:val="0"/>
          <w:i w:val="0"/>
        </w:rPr>
        <w:t xml:space="preserve">response system (IxRS) will be used to assign vials containing ALXN1210 to each patient.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