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PROTOCOL SUMMARY</w:t>
      </w:r>
    </w:p>
    <w:p>
      <w:pPr>
        <w:pStyle w:val="Heading2"/>
      </w:pPr>
      <w:r>
        <w:t>1.1. Synopsis Short Title: A Phase 1/2/3 Study to Evaluate the Safety, Tolerability, Immunogenicity, and</w:t>
      </w:r>
    </w:p>
    <w:p>
      <w:r>
        <w:rPr>
          <w:b w:val="0"/>
          <w:i w:val="0"/>
        </w:rPr>
        <w:t>Efficacy of RNA Vaccine Candidates Against COVID-19 in Healthy Individuals</w:t>
      </w:r>
    </w:p>
    <w:p>
      <w:r>
        <w:rPr>
          <w:b/>
        </w:rPr>
        <w:t>Rationale</w:t>
      </w:r>
    </w:p>
    <w:p>
      <w:r>
        <w:rPr>
          <w:b w:val="0"/>
          <w:i w:val="0"/>
        </w:rPr>
        <w:t xml:space="preserve">A pneumonia of unknown cause detected in Wuhan, China, was first reported in </w:t>
      </w:r>
      <w:r>
        <w:rPr>
          <w:b w:val="0"/>
          <w:i w:val="0"/>
        </w:rPr>
        <w:t xml:space="preserve">December 2019. On 08 January 2020, the pathogen causing this outbreak was identified as a </w:t>
      </w:r>
      <w:r>
        <w:rPr>
          <w:b w:val="0"/>
          <w:i w:val="0"/>
        </w:rPr>
        <w:t xml:space="preserve">novel coronavirus 2019. The outbreak was declared a Public Health Emergency of </w:t>
      </w:r>
      <w:r>
        <w:rPr>
          <w:b w:val="0"/>
          <w:i w:val="0"/>
        </w:rPr>
        <w:t xml:space="preserve">International Concern on 30 January 2020. On 12 February 2020, the virus was officially </w:t>
      </w:r>
      <w:r>
        <w:rPr>
          <w:b w:val="0"/>
          <w:i w:val="0"/>
        </w:rPr>
        <w:t xml:space="preserve">named as severe acute respiratory syndrome coronavirus 2 (SARS-CoV-2), and the WHO </w:t>
      </w:r>
      <w:r>
        <w:rPr>
          <w:b w:val="0"/>
          <w:i w:val="0"/>
        </w:rPr>
        <w:t xml:space="preserve">officially named the disease caused by SARS-CoV-2 as coronavirus disease 2019 </w:t>
      </w:r>
      <w:r>
        <w:rPr>
          <w:b w:val="0"/>
          <w:i w:val="0"/>
        </w:rPr>
        <w:t xml:space="preserve">(COVID-19). On 11 March 2020, the WHO upgraded the status of the COVID-19 outbreak </w:t>
      </w:r>
      <w:r>
        <w:rPr>
          <w:b w:val="0"/>
          <w:i w:val="0"/>
        </w:rPr>
        <w:t xml:space="preserve">from epidemic to pandemic, which continues to spread globally at high speed. To date, more </w:t>
      </w:r>
      <w:r>
        <w:rPr>
          <w:b w:val="0"/>
          <w:i w:val="0"/>
        </w:rPr>
        <w:t xml:space="preserve">than 392 million people have been infected with SARS-CoV-2 and &gt;5.7 million have died, </w:t>
      </w:r>
      <w:r>
        <w:rPr>
          <w:b w:val="0"/>
          <w:i w:val="0"/>
        </w:rPr>
        <w:t>demonstrating an urgent need for efficacious vaccines.</w:t>
      </w:r>
    </w:p>
    <w:p>
      <w:r>
        <w:rPr>
          <w:b w:val="0"/>
          <w:i w:val="0"/>
        </w:rPr>
        <w:t xml:space="preserve">Numerous COVID-19 vaccines are currently in development globally, and several candidate </w:t>
      </w:r>
      <w:r>
        <w:rPr>
          <w:b w:val="0"/>
          <w:i w:val="0"/>
        </w:rPr>
        <w:t xml:space="preserve">COVID-19 vaccines (eg, mRNA vaccines and adenovirus-vectored vaccines expressing the </w:t>
      </w:r>
      <w:r>
        <w:rPr>
          <w:b w:val="0"/>
          <w:i w:val="0"/>
        </w:rPr>
        <w:t xml:space="preserve">S protein) have been shown to be efficacious in the prevention of COVID-19 in clinical </w:t>
      </w:r>
      <w:r>
        <w:rPr>
          <w:b w:val="0"/>
          <w:i w:val="0"/>
        </w:rPr>
        <w:t xml:space="preserve">studies and are now available under temporary or emergency authorizations. BNT162b2, an </w:t>
      </w:r>
      <w:r>
        <w:rPr>
          <w:b w:val="0"/>
          <w:i w:val="0"/>
        </w:rPr>
        <w:t xml:space="preserve">RNA-based COVID-19 vaccine given as a 2-dose series administered 21 days apart, was </w:t>
      </w:r>
      <w:r>
        <w:rPr>
          <w:b w:val="0"/>
          <w:i w:val="0"/>
        </w:rPr>
        <w:t xml:space="preserve">shown to be safe and effective in a Phase 1/2/3 study and has received authorizations for </w:t>
      </w:r>
      <w:r>
        <w:rPr>
          <w:b w:val="0"/>
          <w:i w:val="0"/>
        </w:rPr>
        <w:t xml:space="preserve">temporary or emergency use or marketing authorizations in multiple countries and has been </w:t>
      </w:r>
      <w:r>
        <w:rPr>
          <w:b w:val="0"/>
          <w:i w:val="0"/>
        </w:rPr>
        <w:t>fully licensed for use in individuals 16 years of age and above in the US as of 23 Aug 2021.</w:t>
      </w:r>
    </w:p>
    <w:p>
      <w:r>
        <w:rPr>
          <w:b w:val="0"/>
          <w:i w:val="0"/>
        </w:rPr>
        <w:t xml:space="preserve">BioNTech has developed RNA-based vaccine candidates using a platform approach that </w:t>
      </w:r>
      <w:r>
        <w:rPr>
          <w:b w:val="0"/>
          <w:i w:val="0"/>
        </w:rPr>
        <w:t xml:space="preserve">enables the rapid development of vaccines against emerging viral diseases, including </w:t>
      </w:r>
      <w:r>
        <w:rPr>
          <w:b w:val="0"/>
          <w:i w:val="0"/>
        </w:rPr>
        <w:t xml:space="preserve">SARS-CoV-2. Each vaccine candidate is based on a platform of nucleoside-modified </w:t>
      </w:r>
      <w:r>
        <w:rPr>
          <w:b w:val="0"/>
          <w:i w:val="0"/>
        </w:rPr>
        <w:t>messenger RNA (modRNA, BNT162b). Each vaccine candidate expresses 1 of 3 antigens:</w:t>
      </w:r>
    </w:p>
    <w:p>
      <w:r>
        <w:rPr>
          <w:b w:val="0"/>
          <w:i w:val="0"/>
        </w:rPr>
        <w:t xml:space="preserve">BNT162b1 (variant RBP020.3): a modRNA encoding the trimerized SARS-CoV-2 spike </w:t>
      </w:r>
      <w:r>
        <w:rPr>
          <w:b w:val="0"/>
          <w:i w:val="0"/>
        </w:rPr>
        <w:t>glycoprotein receptor-binding domain (RBD) (version 5);</w:t>
      </w:r>
    </w:p>
    <w:p>
      <w:r>
        <w:rPr>
          <w:b w:val="0"/>
          <w:i w:val="0"/>
        </w:rPr>
        <w:t xml:space="preserve">BNT162b2 (variant RBP020.2): a modRNA encoding the SARS-CoV-2 full-length, P2 </w:t>
      </w:r>
      <w:r>
        <w:rPr>
          <w:b w:val="0"/>
          <w:i w:val="0"/>
        </w:rPr>
        <w:t>mutant, prefusion spike glycoprotein (P2 S) (version 9);</w:t>
      </w:r>
    </w:p>
    <w:p>
      <w:r>
        <w:rPr>
          <w:b w:val="0"/>
          <w:i w:val="0"/>
        </w:rPr>
        <w:t xml:space="preserve">BNT162b2s01 (variant RBP020.11): a modRNA encoding the P2 S containing South Africa </w:t>
      </w:r>
      <w:r>
        <w:rPr>
          <w:b w:val="0"/>
          <w:i w:val="0"/>
        </w:rPr>
        <w:t>B.1.351 variant–specific mutations, hereafter referred to as BNT162b2</w:t>
      </w:r>
      <w:r>
        <w:rPr>
          <w:b w:val="0"/>
          <w:i w:val="0"/>
        </w:rPr>
        <w:t>SA</w:t>
      </w:r>
      <w:r>
        <w:rPr>
          <w:b w:val="0"/>
          <w:i w:val="0"/>
        </w:rPr>
        <w:t xml:space="preserve">, as a representative </w:t>
      </w:r>
      <w:r>
        <w:rPr>
          <w:b w:val="0"/>
          <w:i w:val="0"/>
        </w:rPr>
        <w:t>variant of concern (VOC).</w:t>
      </w:r>
    </w:p>
    <w:p>
      <w:r>
        <w:rPr>
          <w:b w:val="0"/>
          <w:i w:val="0"/>
        </w:rPr>
        <w:t xml:space="preserve">All candidates are formulated in the same lipid nanoparticle (LNP) composition. This study </w:t>
      </w:r>
      <w:r>
        <w:rPr>
          <w:b w:val="0"/>
          <w:i w:val="0"/>
        </w:rPr>
        <w:t xml:space="preserve">is intended to investigate the safety, immunogenicity, and/or efficacy of these prophylactic </w:t>
      </w:r>
      <w:r>
        <w:rPr>
          <w:b w:val="0"/>
          <w:i w:val="0"/>
        </w:rPr>
        <w:t>BNT162 vaccines against COVID-19.</w:t>
      </w:r>
    </w:p>
    <w:p>
      <w:r>
        <w:rPr>
          <w:b/>
        </w:rPr>
        <w:t>Objectives, Estimands, and Endpoints</w:t>
      </w:r>
    </w:p>
    <w:p>
      <w:r>
        <w:rPr>
          <w:b/>
        </w:rPr>
        <w:t>For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Objectives</w:t>
            </w:r>
          </w:p>
        </w:tc>
        <w:tc>
          <w:tcPr>
            <w:tcW w:type="dxa" w:w="2880"/>
          </w:tcPr>
          <w:p>
            <w:r>
              <w:t>Estimands</w:t>
            </w:r>
          </w:p>
        </w:tc>
        <w:tc>
          <w:tcPr>
            <w:tcW w:type="dxa" w:w="2880"/>
          </w:tcPr>
          <w:p>
            <w:r>
              <w:t>Endpoints</w:t>
            </w:r>
          </w:p>
        </w:tc>
      </w:tr>
      <w:tr>
        <w:tc>
          <w:tcPr>
            <w:tcW w:type="dxa" w:w="2880"/>
          </w:tcPr>
          <w:p>
            <w:r>
              <w:t>Primary:</w:t>
            </w:r>
          </w:p>
        </w:tc>
        <w:tc>
          <w:tcPr>
            <w:tcW w:type="dxa" w:w="2880"/>
          </w:tcPr>
          <w:p>
            <w:r>
              <w:t>Primary:</w:t>
            </w:r>
          </w:p>
        </w:tc>
        <w:tc>
          <w:tcPr>
            <w:tcW w:type="dxa" w:w="2880"/>
          </w:tcPr>
          <w:p>
            <w:r>
              <w:t>Primary:</w:t>
            </w:r>
          </w:p>
        </w:tc>
      </w:tr>
      <w:tr>
        <w:tc>
          <w:tcPr>
            <w:tcW w:type="dxa" w:w="2880"/>
          </w:tcPr>
          <w:p>
            <w:r>
              <w:t>To describe the safety and tolerability</w:t>
              <w:br/>
              <w:t>profiles of prophylactic BNT162</w:t>
              <w:br/>
              <w:t>vaccines in healthy adults after 1 or</w:t>
              <w:br/>
              <w:t>2 doses</w:t>
            </w:r>
          </w:p>
        </w:tc>
        <w:tc>
          <w:tcPr>
            <w:tcW w:type="dxa" w:w="2880"/>
          </w:tcPr>
          <w:p>
            <w:r>
              <w:t>In participants receiving at least 1 dose</w:t>
              <w:br/>
              <w:t>of study intervention, the percentage of</w:t>
              <w:br/>
              <w:t>participants reporting:</w:t>
              <w:br/>
              <w:t> Local reactions for up to 7 days</w:t>
              <w:br/>
              <w:t>following each dose</w:t>
              <w:br/>
              <w:t> Systemic events for up to 7 days</w:t>
              <w:br/>
              <w:t>following each dose</w:t>
              <w:br/>
              <w:t> Adverse events (AEs) from Dose 1</w:t>
              <w:br/>
              <w:t>to 1 month after the last dose</w:t>
              <w:br/>
              <w:t> Serious AEs (SAEs) from Dose 1</w:t>
              <w:br/>
              <w:t>to 6 months after the last dose</w:t>
            </w:r>
          </w:p>
        </w:tc>
        <w:tc>
          <w:tcPr>
            <w:tcW w:type="dxa" w:w="2880"/>
          </w:tcPr>
          <w:p>
            <w:r>
              <w:t> Local reactions (pain at the</w:t>
              <w:br/>
              <w:t>injection site, redness, and</w:t>
              <w:br/>
              <w:t>swelling)</w:t>
              <w:br/>
              <w:t> Systemic events (fever, fatigue,</w:t>
              <w:br/>
              <w:t>headache, chills, vomiting,</w:t>
              <w:br/>
              <w:t>diarrhea, new or worsened muscle</w:t>
              <w:br/>
              <w:t>pain, and new or worsened joint</w:t>
              <w:br/>
              <w:t>pain)</w:t>
              <w:br/>
              <w:t> AEs</w:t>
              <w:br/>
              <w:t> SAEs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addition, the percentage of</w:t>
              <w:br/>
              <w:t>participants with:</w:t>
              <w:br/>
              <w:t> Abnormal hematology and</w:t>
              <w:br/>
              <w:t>chemistry laboratory values 1 and</w:t>
              <w:br/>
              <w:t>7 days after Dose 1; and 7 days</w:t>
              <w:br/>
              <w:t>after Dose 2</w:t>
              <w:br/>
              <w:t> Grading shifts in hematology and</w:t>
              <w:br/>
              <w:t>chemistry laboratory assessments</w:t>
              <w:br/>
              <w:t>between baseline and 1 and 7 days</w:t>
              <w:br/>
              <w:t>after Dose 1; and before Dose 2</w:t>
              <w:br/>
              <w:t>and 7 days after Dose 2</w:t>
            </w:r>
          </w:p>
        </w:tc>
        <w:tc>
          <w:tcPr>
            <w:tcW w:type="dxa" w:w="2880"/>
          </w:tcPr>
          <w:p>
            <w:r>
              <w:t>Hematology and chemistry laboratory</w:t>
              <w:br/>
              <w:t>parameters detailed in Section 10.2</w:t>
            </w:r>
          </w:p>
        </w:tc>
      </w:tr>
      <w:tr>
        <w:tc>
          <w:tcPr>
            <w:tcW w:type="dxa" w:w="2880"/>
          </w:tcPr>
          <w:p>
            <w:r>
              <w:t>Secondary:</w:t>
            </w:r>
          </w:p>
        </w:tc>
        <w:tc>
          <w:tcPr>
            <w:tcW w:type="dxa" w:w="2880"/>
          </w:tcPr>
          <w:p>
            <w:r>
              <w:t>Secondary:</w:t>
            </w:r>
          </w:p>
        </w:tc>
        <w:tc>
          <w:tcPr>
            <w:tcW w:type="dxa" w:w="2880"/>
          </w:tcPr>
          <w:p>
            <w:r>
              <w:t>Secondary:</w:t>
            </w:r>
          </w:p>
        </w:tc>
      </w:tr>
      <w:tr>
        <w:tc>
          <w:tcPr>
            <w:tcW w:type="dxa" w:w="2880"/>
          </w:tcPr>
          <w:p>
            <w:r>
              <w:t>To describe the immune responses</w:t>
              <w:br/>
              <w:t>elicited by prophylactic BNT162</w:t>
              <w:br/>
              <w:t>vaccines in healthy adults after 1 or</w:t>
              <w:br/>
              <w:t>2 doses</w:t>
            </w:r>
          </w:p>
        </w:tc>
        <w:tc>
          <w:tcPr>
            <w:tcW w:type="dxa" w:w="2880"/>
          </w:tcPr>
          <w:p>
            <w:r>
              <w:t>In participants complying with the key</w:t>
              <w:br/>
              <w:t>protocol criteria (evaluable participants)</w:t>
              <w:br/>
              <w:t>at the following time points after receipt</w:t>
              <w:br/>
              <w:t>of study intervention:</w:t>
              <w:br/>
              <w:t>7 and 21 days after Dose 1; 7 and</w:t>
              <w:br/>
              <w:t>14 days and 1 and 6 months after Dose 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 Geometric mean titers (GMTs) at</w:t>
              <w:br/>
              <w:t>each time point</w:t>
              <w:br/>
              <w:t> Geometric mean fold rise (GMFR)</w:t>
              <w:br/>
              <w:t>from before vaccination to each</w:t>
              <w:br/>
              <w:t>subsequent time point after</w:t>
              <w:br/>
              <w:t>vaccination</w:t>
              <w:br/>
              <w:t> Proportion of participants</w:t>
              <w:br/>
              <w:t>achieving ≥4-fold rise from before</w:t>
              <w:br/>
              <w:t>vaccination to each subsequent</w:t>
              <w:br/>
              <w:t>time point after vaccination</w:t>
            </w:r>
          </w:p>
        </w:tc>
        <w:tc>
          <w:tcPr>
            <w:tcW w:type="dxa" w:w="2880"/>
          </w:tcPr>
          <w:p>
            <w:r>
              <w:t>SARS-CoV-2 neutralizing titers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 Geometric mean concentrations</w:t>
              <w:br/>
              <w:t>(GMCs) at each time point</w:t>
              <w:br/>
              <w:t> GMFR from before vaccination to</w:t>
              <w:br/>
              <w:t>each subsequent time point after</w:t>
              <w:br/>
              <w:t>vaccination</w:t>
              <w:br/>
              <w:t> Proportion of participants</w:t>
              <w:br/>
              <w:t>achieving ≥4-fold rise from before</w:t>
              <w:br/>
              <w:t>vaccination to each subsequent</w:t>
              <w:br/>
              <w:t>time point after vaccination</w:t>
            </w:r>
          </w:p>
        </w:tc>
        <w:tc>
          <w:tcPr>
            <w:tcW w:type="dxa" w:w="2880"/>
          </w:tcPr>
          <w:p>
            <w:r>
              <w:t>S1-binding IgG levels and</w:t>
              <w:br/>
              <w:t>RBD-binding IgG levels</w:t>
            </w:r>
          </w:p>
        </w:tc>
      </w:tr>
    </w:tbl>
    <w:p>
      <w:r>
        <w:rPr>
          <w:b/>
          <w:i w:val="0"/>
        </w:rPr>
        <w:t>Objectives</w:t>
      </w:r>
      <w:r>
        <w:rPr>
          <w:b/>
          <w:i w:val="0"/>
        </w:rPr>
        <w:t>Estimands</w:t>
      </w:r>
      <w:r>
        <w:rPr>
          <w:b/>
          <w:i w:val="0"/>
        </w:rPr>
        <w:t>Endpoints</w:t>
      </w:r>
      <w:r>
        <w:rPr>
          <w:b/>
          <w:i w:val="0"/>
        </w:rPr>
        <w:t xml:space="preserve">Primary: </w:t>
      </w:r>
      <w:r>
        <w:rPr>
          <w:b/>
          <w:i w:val="0"/>
        </w:rPr>
        <w:t>Primary:</w:t>
      </w:r>
      <w:r>
        <w:rPr>
          <w:b/>
          <w:i w:val="0"/>
        </w:rPr>
        <w:t xml:space="preserve">Primary: </w:t>
      </w:r>
      <w:r>
        <w:rPr>
          <w:b w:val="0"/>
          <w:i w:val="0"/>
        </w:rPr>
        <w:t xml:space="preserve">To describe the safety and tolerability </w:t>
      </w:r>
      <w:r>
        <w:rPr>
          <w:b w:val="0"/>
          <w:i w:val="0"/>
        </w:rPr>
        <w:t xml:space="preserve">In participants receiving at least 1 dose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Local reactions (pain at the </w:t>
      </w:r>
      <w:r>
        <w:rPr>
          <w:b w:val="0"/>
          <w:i w:val="0"/>
        </w:rPr>
        <w:t xml:space="preserve">profiles of prophylactic BNT162 </w:t>
      </w:r>
      <w:r>
        <w:rPr>
          <w:b w:val="0"/>
          <w:i w:val="0"/>
        </w:rPr>
        <w:t xml:space="preserve">of study intervention, the percentage of </w:t>
      </w:r>
      <w:r>
        <w:rPr>
          <w:b w:val="0"/>
          <w:i w:val="0"/>
        </w:rPr>
        <w:t xml:space="preserve">injection site, redness, and </w:t>
      </w:r>
      <w:r>
        <w:rPr>
          <w:b w:val="0"/>
          <w:i w:val="0"/>
        </w:rPr>
        <w:t xml:space="preserve">vaccines in healthy adults after 1 or </w:t>
      </w:r>
      <w:r>
        <w:rPr>
          <w:b w:val="0"/>
          <w:i w:val="0"/>
        </w:rPr>
        <w:t>participants reporting:</w:t>
      </w:r>
      <w:r>
        <w:rPr>
          <w:b w:val="0"/>
          <w:i w:val="0"/>
        </w:rPr>
        <w:t>swelling)</w:t>
      </w:r>
      <w:r>
        <w:rPr>
          <w:b w:val="0"/>
          <w:i w:val="0"/>
        </w:rPr>
        <w:t>2 doses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Local reactions for up to 7 days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Systemic events (fever, fatigue, </w:t>
      </w:r>
      <w:r>
        <w:rPr>
          <w:b w:val="0"/>
          <w:i w:val="0"/>
        </w:rPr>
        <w:t>following each dose</w:t>
      </w:r>
      <w:r>
        <w:rPr>
          <w:b w:val="0"/>
          <w:i w:val="0"/>
        </w:rPr>
        <w:t xml:space="preserve">headache, chills, vomiting, </w:t>
      </w:r>
      <w:r>
        <w:rPr>
          <w:b w:val="0"/>
          <w:i w:val="0"/>
        </w:rPr>
        <w:t xml:space="preserve">diarrhea, new or worsened muscle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Systemic events for up to 7 days </w:t>
      </w:r>
      <w:r>
        <w:rPr>
          <w:b w:val="0"/>
          <w:i w:val="0"/>
        </w:rPr>
        <w:t>following each dose</w:t>
      </w:r>
      <w:r>
        <w:rPr>
          <w:b w:val="0"/>
          <w:i w:val="0"/>
        </w:rPr>
        <w:t xml:space="preserve">pain, and new or worsened joint </w:t>
      </w:r>
      <w:r>
        <w:rPr>
          <w:b w:val="0"/>
          <w:i w:val="0"/>
        </w:rPr>
        <w:t>pain)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Adverse events (AEs) from Dose 1 </w:t>
      </w:r>
      <w:r>
        <w:rPr>
          <w:b w:val="0"/>
          <w:i w:val="0"/>
        </w:rPr>
        <w:t>to 1 month after the last dose</w:t>
      </w:r>
      <w:r>
        <w:rPr>
          <w:b w:val="0"/>
          <w:i w:val="0"/>
        </w:rPr>
        <w:t></w:t>
      </w:r>
      <w:r>
        <w:rPr>
          <w:b w:val="0"/>
          <w:i w:val="0"/>
        </w:rPr>
        <w:t>AEs</w:t>
      </w:r>
      <w:r>
        <w:rPr>
          <w:b w:val="0"/>
          <w:i w:val="0"/>
        </w:rPr>
        <w:t></w:t>
      </w:r>
      <w:r>
        <w:rPr>
          <w:b w:val="0"/>
          <w:i w:val="0"/>
        </w:rPr>
        <w:t>SAEs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Serious AEs (SAEs) from Dose 1 </w:t>
      </w:r>
      <w:r>
        <w:rPr>
          <w:b w:val="0"/>
          <w:i w:val="0"/>
        </w:rPr>
        <w:t>to 6 months after the last dose</w:t>
      </w:r>
    </w:p>
    <w:p>
      <w:r>
        <w:rPr>
          <w:b w:val="0"/>
          <w:i w:val="0"/>
        </w:rPr>
        <w:t xml:space="preserve">In addition, the percentage of </w:t>
      </w:r>
      <w:r>
        <w:rPr>
          <w:b w:val="0"/>
          <w:i w:val="0"/>
        </w:rPr>
        <w:t xml:space="preserve">Hematology and chemistry laboratory </w:t>
      </w:r>
      <w:r>
        <w:rPr>
          <w:b w:val="0"/>
          <w:i w:val="0"/>
        </w:rPr>
        <w:t>participants with:</w:t>
      </w:r>
      <w:r>
        <w:rPr>
          <w:b w:val="0"/>
          <w:i w:val="0"/>
        </w:rPr>
        <w:t xml:space="preserve">parameters detailed in </w:t>
      </w:r>
      <w:r>
        <w:rPr>
          <w:b w:val="0"/>
          <w:i w:val="0"/>
        </w:rPr>
        <w:t>Section 10.2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Abnormal hematology and </w:t>
      </w:r>
      <w:r>
        <w:rPr>
          <w:b w:val="0"/>
          <w:i w:val="0"/>
        </w:rPr>
        <w:t xml:space="preserve">chemistry laboratory values 1 and </w:t>
      </w:r>
      <w:r>
        <w:rPr>
          <w:b w:val="0"/>
          <w:i w:val="0"/>
        </w:rPr>
        <w:t xml:space="preserve">7 days after Dose 1; and 7 days </w:t>
      </w:r>
      <w:r>
        <w:rPr>
          <w:b w:val="0"/>
          <w:i w:val="0"/>
        </w:rPr>
        <w:t>after Dose 2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Grading shifts in hematology and </w:t>
      </w:r>
      <w:r>
        <w:rPr>
          <w:b w:val="0"/>
          <w:i w:val="0"/>
        </w:rPr>
        <w:t xml:space="preserve">chemistry laboratory assessments </w:t>
      </w:r>
      <w:r>
        <w:rPr>
          <w:b w:val="0"/>
          <w:i w:val="0"/>
        </w:rPr>
        <w:t xml:space="preserve">between baseline and 1 and 7 days </w:t>
      </w:r>
      <w:r>
        <w:rPr>
          <w:b w:val="0"/>
          <w:i w:val="0"/>
        </w:rPr>
        <w:t xml:space="preserve">after Dose 1; and before Dose 2 </w:t>
      </w:r>
      <w:r>
        <w:rPr>
          <w:b w:val="0"/>
          <w:i w:val="0"/>
        </w:rPr>
        <w:t>and 7 days after Dose 2</w:t>
      </w:r>
    </w:p>
    <w:p>
      <w:r>
        <w:rPr>
          <w:b/>
          <w:i w:val="0"/>
        </w:rPr>
        <w:t xml:space="preserve">Secondary: </w:t>
      </w:r>
      <w:r>
        <w:rPr>
          <w:b/>
          <w:i w:val="0"/>
        </w:rPr>
        <w:t>Secondary:</w:t>
      </w:r>
      <w:r>
        <w:rPr>
          <w:b/>
          <w:i w:val="0"/>
        </w:rPr>
        <w:t xml:space="preserve">Secondary: </w:t>
      </w:r>
      <w:r>
        <w:rPr>
          <w:b w:val="0"/>
          <w:i w:val="0"/>
        </w:rPr>
        <w:t xml:space="preserve">To describe the immune responses </w:t>
      </w:r>
      <w:r>
        <w:rPr>
          <w:b w:val="0"/>
          <w:i w:val="0"/>
        </w:rPr>
        <w:t xml:space="preserve">In participants complying with the key </w:t>
      </w:r>
      <w:r>
        <w:rPr>
          <w:b w:val="0"/>
          <w:i w:val="0"/>
        </w:rPr>
        <w:t xml:space="preserve">elicited by prophylactic BNT162 </w:t>
      </w:r>
      <w:r>
        <w:rPr>
          <w:b w:val="0"/>
          <w:i w:val="0"/>
        </w:rPr>
        <w:t xml:space="preserve">vaccines in healthy adults after 1 or </w:t>
      </w:r>
      <w:r>
        <w:rPr>
          <w:b w:val="0"/>
          <w:i w:val="0"/>
        </w:rPr>
        <w:t>at the following time points after receipt</w:t>
      </w:r>
      <w:r>
        <w:rPr>
          <w:b w:val="0"/>
          <w:i w:val="0"/>
        </w:rPr>
        <w:t>2 doses</w:t>
      </w:r>
      <w:r>
        <w:rPr>
          <w:b w:val="0"/>
          <w:i w:val="0"/>
        </w:rPr>
        <w:t>of study intervention:</w:t>
      </w:r>
    </w:p>
    <w:p>
      <w:r>
        <w:rPr>
          <w:b w:val="0"/>
          <w:i w:val="0"/>
        </w:rPr>
        <w:t xml:space="preserve">7 and 21 days after Dose 1; 7 and </w:t>
      </w:r>
      <w:r>
        <w:rPr>
          <w:b w:val="0"/>
          <w:i w:val="0"/>
        </w:rPr>
        <w:t>14 days and 1 and 6 months after Dose 2</w:t>
      </w:r>
    </w:p>
    <w:p>
      <w:r>
        <w:rPr>
          <w:b w:val="0"/>
          <w:i w:val="0"/>
        </w:rPr>
        <w:t>SARS-CoV-2 neutralizing titers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Geometric mean titers (GMTs) at </w:t>
      </w:r>
      <w:r>
        <w:rPr>
          <w:b w:val="0"/>
          <w:i w:val="0"/>
        </w:rPr>
        <w:t>each time point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Geometric mean fold rise (GMFR) </w:t>
      </w:r>
      <w:r>
        <w:rPr>
          <w:b w:val="0"/>
          <w:i w:val="0"/>
        </w:rPr>
        <w:t xml:space="preserve">from before vaccination to each </w:t>
      </w:r>
      <w:r>
        <w:rPr>
          <w:b w:val="0"/>
          <w:i w:val="0"/>
        </w:rPr>
        <w:t xml:space="preserve">subsequent time point after </w:t>
      </w:r>
      <w:r>
        <w:rPr>
          <w:b w:val="0"/>
          <w:i w:val="0"/>
        </w:rPr>
        <w:t>vaccination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Proportion of participants </w:t>
      </w:r>
      <w:r>
        <w:rPr>
          <w:b w:val="0"/>
          <w:i w:val="0"/>
        </w:rPr>
        <w:t xml:space="preserve">achieving ≥4-fold rise from before </w:t>
      </w:r>
      <w:r>
        <w:rPr>
          <w:b w:val="0"/>
          <w:i w:val="0"/>
        </w:rPr>
        <w:t xml:space="preserve">vaccination to each subsequent </w:t>
      </w:r>
      <w:r>
        <w:rPr>
          <w:b w:val="0"/>
          <w:i w:val="0"/>
        </w:rPr>
        <w:t>time point after vaccination</w:t>
      </w:r>
      <w:r>
        <w:rPr>
          <w:b w:val="0"/>
          <w:i w:val="0"/>
        </w:rPr>
        <w:t xml:space="preserve">S1-binding IgG levels and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Geometric mean concentrations </w:t>
      </w:r>
      <w:r>
        <w:rPr>
          <w:b w:val="0"/>
          <w:i w:val="0"/>
        </w:rPr>
        <w:t>RBD-binding IgG levels</w:t>
      </w:r>
      <w:r>
        <w:rPr>
          <w:b w:val="0"/>
          <w:i w:val="0"/>
        </w:rPr>
        <w:t>(GMCs) at each time point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GMFR from before vaccination to </w:t>
      </w:r>
      <w:r>
        <w:rPr>
          <w:b w:val="0"/>
          <w:i w:val="0"/>
        </w:rPr>
        <w:t xml:space="preserve">each subsequent time point after </w:t>
      </w:r>
      <w:r>
        <w:rPr>
          <w:b w:val="0"/>
          <w:i w:val="0"/>
        </w:rPr>
        <w:t>vaccination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Proportion of participants </w:t>
      </w:r>
      <w:r>
        <w:rPr>
          <w:b w:val="0"/>
          <w:i w:val="0"/>
        </w:rPr>
        <w:t xml:space="preserve">achieving ≥4-fold rise from before </w:t>
      </w:r>
      <w:r>
        <w:rPr>
          <w:b w:val="0"/>
          <w:i w:val="0"/>
        </w:rPr>
        <w:t xml:space="preserve">vaccination to each subsequent </w:t>
      </w:r>
      <w:r>
        <w:rPr>
          <w:b w:val="0"/>
          <w:i w:val="0"/>
        </w:rPr>
        <w:t>time point after vaccination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Objectives</w:t>
            </w:r>
          </w:p>
        </w:tc>
        <w:tc>
          <w:tcPr>
            <w:tcW w:type="dxa" w:w="2880"/>
          </w:tcPr>
          <w:p>
            <w:r>
              <w:t>Estimands</w:t>
            </w:r>
          </w:p>
        </w:tc>
        <w:tc>
          <w:tcPr>
            <w:tcW w:type="dxa" w:w="2880"/>
          </w:tcPr>
          <w:p>
            <w:r>
              <w:t>Endpoints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 Geometric mean ratio (GMR),</w:t>
              <w:br/>
              <w:t>estimated by the ratio of the</w:t>
              <w:br/>
              <w:t>geometric mean of SARS-CoV-2</w:t>
              <w:br/>
              <w:t>neutralizing titers to the geometric</w:t>
              <w:br/>
              <w:t>mean of binding IgG levels at each</w:t>
              <w:br/>
              <w:t>time point</w:t>
            </w:r>
          </w:p>
        </w:tc>
        <w:tc>
          <w:tcPr>
            <w:tcW w:type="dxa" w:w="2880"/>
          </w:tcPr>
          <w:p>
            <w:r>
              <w:t> SARS-CoV-2 neutralizing titers</w:t>
              <w:br/>
              <w:t> S1-binding IgG levels</w:t>
              <w:br/>
              <w:t> RBD-binding IgG levels</w:t>
            </w:r>
          </w:p>
        </w:tc>
      </w:tr>
      <w:tr>
        <w:tc>
          <w:tcPr>
            <w:tcW w:type="dxa" w:w="2880"/>
          </w:tcPr>
          <w:p>
            <w:r>
              <w:t>Exploratory:</w:t>
            </w:r>
          </w:p>
        </w:tc>
        <w:tc>
          <w:tcPr>
            <w:tcW w:type="dxa" w:w="2880"/>
          </w:tcPr>
          <w:p>
            <w:r>
              <w:t>Exploratory:</w:t>
            </w:r>
          </w:p>
        </w:tc>
        <w:tc>
          <w:tcPr>
            <w:tcW w:type="dxa" w:w="2880"/>
          </w:tcPr>
          <w:p>
            <w:r>
              <w:t>Exploratory:</w:t>
            </w:r>
          </w:p>
        </w:tc>
      </w:tr>
      <w:tr>
        <w:tc>
          <w:tcPr>
            <w:tcW w:type="dxa" w:w="2880"/>
          </w:tcPr>
          <w:p>
            <w:r>
              <w:t>To describe the immune responses</w:t>
              <w:br/>
              <w:t>elicited by a third dose of prophylactic</w:t>
              <w:br/>
              <w:t>BNT162b2 administered to healthy</w:t>
              <w:br/>
              <w:t>adults at least 6 months after the second</w:t>
              <w:br/>
              <w:t>dose of either BNT162b1 or BNT162b2</w:t>
            </w:r>
          </w:p>
        </w:tc>
        <w:tc>
          <w:tcPr>
            <w:tcW w:type="dxa" w:w="2880"/>
          </w:tcPr>
          <w:p>
            <w:r>
              <w:t> GMCs/GMTs at the time of</w:t>
              <w:br/>
              <w:t>Dose 3, 7 days and 1 month after</w:t>
              <w:br/>
              <w:t>Dose 3, and 12 months after</w:t>
              <w:br/>
              <w:t>Dose 2</w:t>
              <w:br/>
              <w:t> GMFRs from before Dose 3 to</w:t>
              <w:br/>
              <w:t>7 days and 1 month after Dose 3</w:t>
              <w:br/>
              <w:t>and 12 months after Dose 2</w:t>
              <w:br/>
              <w:t> GMR of SARS-CoV-2 reference-</w:t>
              <w:br/>
              <w:t>strain neutralizing titers 1 month</w:t>
              <w:br/>
              <w:t>after Dose 3 to 1 month after</w:t>
              <w:br/>
              <w:t>Dose 2</w:t>
              <w:br/>
              <w:t> GMR of SARS-CoV-2 SA-variant</w:t>
              <w:br/>
              <w:t>neutralizing titers 1 month after</w:t>
              <w:br/>
              <w:t>Dose 3 to SARS-CoV-2 reference-</w:t>
              <w:br/>
              <w:t>strain neutralizing titers 1 month</w:t>
              <w:br/>
              <w:t>after Dose 2</w:t>
            </w:r>
          </w:p>
        </w:tc>
        <w:tc>
          <w:tcPr>
            <w:tcW w:type="dxa" w:w="2880"/>
          </w:tcPr>
          <w:p>
            <w:r>
              <w:t> SARS-CoV-2 reference-strain</w:t>
              <w:br/>
              <w:t>neutralizing titers</w:t>
              <w:br/>
              <w:t> SARS-CoV-2 SA-variant</w:t>
              <w:br/>
              <w:t>neutralizing titers</w:t>
              <w:br/>
              <w:t> Full-length S-binding or</w:t>
              <w:br/>
              <w:t>S1-binding IgG levels</w:t>
              <w:br/>
              <w:t> SARS-CoV-2 reference-strain</w:t>
              <w:br/>
              <w:t>neutralizing titers</w:t>
              <w:br/>
              <w:t> SARS-CoV-2 reference-strain</w:t>
              <w:br/>
              <w:t>neutralizing titers</w:t>
              <w:br/>
              <w:t> SARS-CoV-2 SA-variant</w:t>
              <w:br/>
              <w:t>neutralizing titers</w:t>
            </w:r>
          </w:p>
        </w:tc>
      </w:tr>
      <w:tr>
        <w:tc>
          <w:tcPr>
            <w:tcW w:type="dxa" w:w="2880"/>
          </w:tcPr>
          <w:p>
            <w:r>
              <w:t>To describe the safety profile of a third</w:t>
              <w:br/>
              <w:t>dose of prophylactic BNT162b2</w:t>
              <w:br/>
              <w:t>administered to healthy adults 6 to</w:t>
              <w:br/>
              <w:t>12 months after the second dose of</w:t>
              <w:br/>
              <w:t>either BNT162b1 or BNT162b2</w:t>
            </w:r>
          </w:p>
        </w:tc>
        <w:tc>
          <w:tcPr>
            <w:tcW w:type="dxa" w:w="2880"/>
          </w:tcPr>
          <w:p>
            <w:r>
              <w:t>In participants receiving a third dose of</w:t>
              <w:br/>
              <w:t>BNT162b2, the percentage of</w:t>
              <w:br/>
              <w:t>participants reporting:</w:t>
              <w:br/>
              <w:t> Local reactions for up to 7 days</w:t>
              <w:br/>
              <w:t>after Dose 3</w:t>
              <w:br/>
              <w:t> Systemic events for up to 7 days</w:t>
              <w:br/>
              <w:t>after Dose 3</w:t>
              <w:br/>
              <w:t> AEs and SAEs from Dose 3 to</w:t>
              <w:br/>
              <w:t>1 month after Dose 3</w:t>
            </w:r>
          </w:p>
        </w:tc>
        <w:tc>
          <w:tcPr>
            <w:tcW w:type="dxa" w:w="2880"/>
          </w:tcPr>
          <w:p>
            <w:r>
              <w:t> Local reactions (pain at the</w:t>
              <w:br/>
              <w:t>injection site, redness, and</w:t>
              <w:br/>
              <w:t>swelling)</w:t>
              <w:br/>
              <w:t> Systemic events (fever, fatigue,</w:t>
              <w:br/>
              <w:t>headache, chills, vomiting,</w:t>
              <w:br/>
              <w:t>diarrhea, new or worsened muscle</w:t>
              <w:br/>
              <w:t>pain, and new or worsened joint</w:t>
              <w:br/>
              <w:t>pain)</w:t>
              <w:br/>
              <w:t> AEs</w:t>
              <w:br/>
              <w:t> SAEs</w:t>
            </w:r>
          </w:p>
        </w:tc>
      </w:tr>
      <w:tr>
        <w:tc>
          <w:tcPr>
            <w:tcW w:type="dxa" w:w="2880"/>
          </w:tcPr>
          <w:p>
            <w:r>
              <w:t>To describe the safety and tolerability</w:t>
              <w:br/>
              <w:t>profile of BNT162b2 given as a fourth</w:t>
              <w:br/>
              <w:t>dose at least 6 months after the third</w:t>
              <w:br/>
              <w:t>dose of BNT162b2 for participants who</w:t>
              <w:br/>
              <w:t>received a fourth dose as part of</w:t>
              <w:br/>
              <w:t>protocol amendment 19</w:t>
            </w:r>
          </w:p>
        </w:tc>
        <w:tc>
          <w:tcPr>
            <w:tcW w:type="dxa" w:w="2880"/>
          </w:tcPr>
          <w:p>
            <w:r>
              <w:t>In participants receiving a fourth dose of</w:t>
              <w:br/>
              <w:t>study intervention, the percentage of</w:t>
              <w:br/>
              <w:t>participants reporting:</w:t>
              <w:br/>
              <w:t> AEs and SAEs from Dose 4 to</w:t>
              <w:br/>
              <w:t>1 month after Dose 4</w:t>
            </w:r>
          </w:p>
        </w:tc>
        <w:tc>
          <w:tcPr>
            <w:tcW w:type="dxa" w:w="2880"/>
          </w:tcPr>
          <w:p>
            <w:r>
              <w:t> AEs</w:t>
              <w:br/>
              <w:t> SAEs</w:t>
            </w:r>
          </w:p>
        </w:tc>
      </w:tr>
    </w:tbl>
    <w:p>
      <w:r>
        <w:rPr>
          <w:b/>
          <w:i w:val="0"/>
        </w:rPr>
        <w:t>Objectives</w:t>
      </w:r>
      <w:r>
        <w:rPr>
          <w:b/>
          <w:i w:val="0"/>
        </w:rPr>
        <w:t>Estimands</w:t>
      </w:r>
      <w:r>
        <w:rPr>
          <w:b/>
          <w:i w:val="0"/>
        </w:rPr>
        <w:t>Endpoints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Geometric mean ratio (GMR), </w:t>
      </w:r>
      <w:r>
        <w:rPr>
          <w:b w:val="0"/>
          <w:i w:val="0"/>
        </w:rPr>
        <w:t></w:t>
      </w:r>
      <w:r>
        <w:rPr>
          <w:b w:val="0"/>
          <w:i w:val="0"/>
        </w:rPr>
        <w:t>SARS-CoV-2 neutralizing titers</w:t>
      </w:r>
      <w:r>
        <w:rPr>
          <w:b w:val="0"/>
          <w:i w:val="0"/>
        </w:rPr>
        <w:t xml:space="preserve">estimated by the ratio of the </w:t>
      </w:r>
      <w:r>
        <w:rPr>
          <w:b w:val="0"/>
          <w:i w:val="0"/>
        </w:rPr>
        <w:t></w:t>
      </w:r>
      <w:r>
        <w:rPr>
          <w:b w:val="0"/>
          <w:i w:val="0"/>
        </w:rPr>
        <w:t>S1-binding IgG levels</w:t>
      </w:r>
      <w:r>
        <w:rPr>
          <w:b w:val="0"/>
          <w:i w:val="0"/>
        </w:rPr>
        <w:t>geometric mean of SARS-CoV-2</w:t>
      </w:r>
      <w:r>
        <w:rPr>
          <w:b w:val="0"/>
          <w:i w:val="0"/>
        </w:rPr>
        <w:t></w:t>
      </w:r>
      <w:r>
        <w:rPr>
          <w:b w:val="0"/>
          <w:i w:val="0"/>
        </w:rPr>
        <w:t>RBD-binding IgG levels</w:t>
      </w:r>
      <w:r>
        <w:rPr>
          <w:b w:val="0"/>
          <w:i w:val="0"/>
        </w:rPr>
        <w:t xml:space="preserve">neutralizing titers to the geometric </w:t>
      </w:r>
      <w:r>
        <w:rPr>
          <w:b w:val="0"/>
          <w:i w:val="0"/>
        </w:rPr>
        <w:t xml:space="preserve">mean of binding IgG levels at each </w:t>
      </w:r>
      <w:r>
        <w:rPr>
          <w:b w:val="0"/>
          <w:i w:val="0"/>
        </w:rPr>
        <w:t>time point</w:t>
      </w:r>
      <w:r>
        <w:rPr>
          <w:b/>
          <w:i w:val="0"/>
        </w:rPr>
        <w:t xml:space="preserve">Exploratory: </w:t>
      </w:r>
      <w:r>
        <w:rPr>
          <w:b/>
          <w:i w:val="0"/>
        </w:rPr>
        <w:t>Exploratory:</w:t>
      </w:r>
      <w:r>
        <w:rPr>
          <w:b/>
          <w:i w:val="0"/>
        </w:rPr>
        <w:t xml:space="preserve">Exploratory: </w:t>
      </w:r>
      <w:r>
        <w:rPr>
          <w:b w:val="0"/>
          <w:i w:val="0"/>
        </w:rPr>
        <w:t xml:space="preserve">To describe the immune responses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GMCs/GMTs at the time of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SARS-CoV-2 reference-strain </w:t>
      </w:r>
      <w:r>
        <w:rPr>
          <w:b w:val="0"/>
          <w:i w:val="0"/>
        </w:rPr>
        <w:t xml:space="preserve">elicited by a third dose of prophylactic </w:t>
      </w:r>
      <w:r>
        <w:rPr>
          <w:b w:val="0"/>
          <w:i w:val="0"/>
        </w:rPr>
        <w:t xml:space="preserve">Dose 3, 7 days and 1 month after </w:t>
      </w:r>
      <w:r>
        <w:rPr>
          <w:b w:val="0"/>
          <w:i w:val="0"/>
        </w:rPr>
        <w:t>neutralizing titers</w:t>
      </w:r>
      <w:r>
        <w:rPr>
          <w:b w:val="0"/>
          <w:i w:val="0"/>
        </w:rPr>
        <w:t xml:space="preserve">BNT162b2 administered to healthy </w:t>
      </w:r>
      <w:r>
        <w:rPr>
          <w:b w:val="0"/>
          <w:i w:val="0"/>
        </w:rPr>
        <w:t xml:space="preserve">Dose 3, and 12 months after </w:t>
      </w:r>
      <w:r>
        <w:rPr>
          <w:b w:val="0"/>
          <w:i w:val="0"/>
        </w:rPr>
        <w:t></w:t>
      </w:r>
      <w:r>
        <w:rPr>
          <w:b w:val="0"/>
          <w:i w:val="0"/>
        </w:rPr>
        <w:t>SARS-CoV-2 SA-variant</w:t>
      </w:r>
      <w:r>
        <w:rPr>
          <w:b w:val="0"/>
          <w:i w:val="0"/>
        </w:rPr>
        <w:t xml:space="preserve">adults at least 6 months after the second </w:t>
      </w:r>
      <w:r>
        <w:rPr>
          <w:b w:val="0"/>
          <w:i w:val="0"/>
        </w:rPr>
        <w:t>Dose 2</w:t>
      </w:r>
      <w:r>
        <w:rPr>
          <w:b w:val="0"/>
          <w:i w:val="0"/>
        </w:rPr>
        <w:t>neutralizing titers</w:t>
      </w:r>
      <w:r>
        <w:rPr>
          <w:b w:val="0"/>
          <w:i w:val="0"/>
        </w:rPr>
        <w:t>dose of either BNT162b1 or BNT162b2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Full-length S-binding or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GMFRs from before Dose 3 to </w:t>
      </w:r>
      <w:r>
        <w:rPr>
          <w:b w:val="0"/>
          <w:i w:val="0"/>
        </w:rPr>
        <w:t>S1-binding IgG levels</w:t>
      </w:r>
      <w:r>
        <w:rPr>
          <w:b w:val="0"/>
          <w:i w:val="0"/>
        </w:rPr>
        <w:t>7 days and 1 month after Dose 3</w:t>
      </w:r>
      <w:r>
        <w:rPr>
          <w:b w:val="0"/>
          <w:i w:val="0"/>
        </w:rPr>
        <w:t>and 12 months after Dose 2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GMR of SARS-CoV-2 reference-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SARS-CoV-2 reference-strain </w:t>
      </w:r>
      <w:r>
        <w:rPr>
          <w:b w:val="0"/>
          <w:i w:val="0"/>
        </w:rPr>
        <w:t xml:space="preserve">strain neutralizing titers 1 month </w:t>
      </w:r>
      <w:r>
        <w:rPr>
          <w:b w:val="0"/>
          <w:i w:val="0"/>
        </w:rPr>
        <w:t>neutralizing titers</w:t>
      </w:r>
      <w:r>
        <w:rPr>
          <w:b w:val="0"/>
          <w:i w:val="0"/>
        </w:rPr>
        <w:t xml:space="preserve">after Dose 3 to 1 month after </w:t>
      </w:r>
      <w:r>
        <w:rPr>
          <w:b w:val="0"/>
          <w:i w:val="0"/>
        </w:rPr>
        <w:t>Dose 2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GMR of SARS-CoV-2 SA-variant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SARS-CoV-2 reference-strain </w:t>
      </w:r>
      <w:r>
        <w:rPr>
          <w:b w:val="0"/>
          <w:i w:val="0"/>
        </w:rPr>
        <w:t xml:space="preserve">neutralizing titers 1 month after </w:t>
      </w:r>
      <w:r>
        <w:rPr>
          <w:b w:val="0"/>
          <w:i w:val="0"/>
        </w:rPr>
        <w:t>neutralizing titers</w:t>
      </w:r>
      <w:r>
        <w:rPr>
          <w:b w:val="0"/>
          <w:i w:val="0"/>
        </w:rPr>
        <w:t>Dose 3 to SARS-CoV-2 reference-</w:t>
      </w:r>
      <w:r>
        <w:rPr>
          <w:b w:val="0"/>
          <w:i w:val="0"/>
        </w:rPr>
        <w:t></w:t>
      </w:r>
      <w:r>
        <w:rPr>
          <w:b w:val="0"/>
          <w:i w:val="0"/>
        </w:rPr>
        <w:t>SARS-CoV-2 SA-variant</w:t>
      </w:r>
      <w:r>
        <w:rPr>
          <w:b w:val="0"/>
          <w:i w:val="0"/>
        </w:rPr>
        <w:t xml:space="preserve">strain neutralizing titers 1 month </w:t>
      </w:r>
      <w:r>
        <w:rPr>
          <w:b w:val="0"/>
          <w:i w:val="0"/>
        </w:rPr>
        <w:t>neutralizing titers</w:t>
      </w:r>
      <w:r>
        <w:rPr>
          <w:b w:val="0"/>
          <w:i w:val="0"/>
        </w:rPr>
        <w:t>after Dose 2</w:t>
      </w:r>
      <w:r>
        <w:rPr>
          <w:b w:val="0"/>
          <w:i w:val="0"/>
        </w:rPr>
        <w:t xml:space="preserve">To describe the safety profile of a third </w:t>
      </w:r>
      <w:r>
        <w:rPr>
          <w:b w:val="0"/>
          <w:i w:val="0"/>
        </w:rPr>
        <w:t xml:space="preserve">In participants receiving a third dose of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Local reactions (pain at the </w:t>
      </w:r>
      <w:r>
        <w:rPr>
          <w:b w:val="0"/>
          <w:i w:val="0"/>
        </w:rPr>
        <w:t>dose of prophylactic BNT162b2</w:t>
      </w:r>
      <w:r>
        <w:rPr>
          <w:b w:val="0"/>
          <w:i w:val="0"/>
        </w:rPr>
        <w:t xml:space="preserve">BNT162b2, the percentage of </w:t>
      </w:r>
      <w:r>
        <w:rPr>
          <w:b w:val="0"/>
          <w:i w:val="0"/>
        </w:rPr>
        <w:t xml:space="preserve">injection site, redness, and </w:t>
      </w:r>
      <w:r>
        <w:rPr>
          <w:b w:val="0"/>
          <w:i w:val="0"/>
        </w:rPr>
        <w:t xml:space="preserve">administered to healthy adults 6 to </w:t>
      </w:r>
      <w:r>
        <w:rPr>
          <w:b w:val="0"/>
          <w:i w:val="0"/>
        </w:rPr>
        <w:t>participants reporting:</w:t>
      </w:r>
      <w:r>
        <w:rPr>
          <w:b w:val="0"/>
          <w:i w:val="0"/>
        </w:rPr>
        <w:t>swelling)</w:t>
      </w:r>
      <w:r>
        <w:rPr>
          <w:b w:val="0"/>
          <w:i w:val="0"/>
        </w:rPr>
        <w:t xml:space="preserve">12 months after the second dose of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Local reactions for up to 7 days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Systemic events (fever, fatigue, </w:t>
      </w:r>
      <w:r>
        <w:rPr>
          <w:b w:val="0"/>
          <w:i w:val="0"/>
        </w:rPr>
        <w:t>either BNT162b1 or BNT162b2</w:t>
      </w:r>
      <w:r>
        <w:rPr>
          <w:b w:val="0"/>
          <w:i w:val="0"/>
        </w:rPr>
        <w:t>after Dose 3</w:t>
      </w:r>
      <w:r>
        <w:rPr>
          <w:b w:val="0"/>
          <w:i w:val="0"/>
        </w:rPr>
        <w:t xml:space="preserve">headache, chills, vomiting,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Systemic events for up to 7 days </w:t>
      </w:r>
      <w:r>
        <w:rPr>
          <w:b w:val="0"/>
          <w:i w:val="0"/>
        </w:rPr>
        <w:t xml:space="preserve">diarrhea, new or worsened muscle </w:t>
      </w:r>
      <w:r>
        <w:rPr>
          <w:b w:val="0"/>
          <w:i w:val="0"/>
        </w:rPr>
        <w:t>after Dose 3</w:t>
      </w:r>
      <w:r>
        <w:rPr>
          <w:b w:val="0"/>
          <w:i w:val="0"/>
        </w:rPr>
        <w:t xml:space="preserve">pain, and new or worsened joint </w:t>
      </w:r>
      <w:r>
        <w:rPr>
          <w:b w:val="0"/>
          <w:i w:val="0"/>
        </w:rPr>
        <w:t>pain)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AEs and SAEs from Dose 3 to </w:t>
      </w:r>
      <w:r>
        <w:rPr>
          <w:b w:val="0"/>
          <w:i w:val="0"/>
        </w:rPr>
        <w:t>1 month after Dose 3</w:t>
      </w:r>
      <w:r>
        <w:rPr>
          <w:b w:val="0"/>
          <w:i w:val="0"/>
        </w:rPr>
        <w:t></w:t>
      </w:r>
      <w:r>
        <w:rPr>
          <w:b w:val="0"/>
          <w:i w:val="0"/>
        </w:rPr>
        <w:t>AEs</w:t>
      </w:r>
      <w:r>
        <w:rPr>
          <w:b w:val="0"/>
          <w:i w:val="0"/>
        </w:rPr>
        <w:t>SAEs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To describe the safety and tolerability </w:t>
      </w:r>
      <w:r>
        <w:rPr>
          <w:b w:val="0"/>
          <w:i w:val="0"/>
        </w:rPr>
        <w:t xml:space="preserve">In participants receiving a fourth dose of </w:t>
      </w:r>
      <w:r>
        <w:rPr>
          <w:b w:val="0"/>
          <w:i w:val="0"/>
        </w:rPr>
        <w:t></w:t>
      </w:r>
      <w:r>
        <w:rPr>
          <w:b w:val="0"/>
          <w:i w:val="0"/>
        </w:rPr>
        <w:t>AEs</w:t>
      </w:r>
      <w:r>
        <w:rPr>
          <w:b w:val="0"/>
          <w:i w:val="0"/>
        </w:rPr>
        <w:t xml:space="preserve">profile of BNT162b2 given as a fourth </w:t>
      </w:r>
      <w:r>
        <w:rPr>
          <w:b w:val="0"/>
          <w:i w:val="0"/>
        </w:rPr>
        <w:t xml:space="preserve">study intervention, the percentage of </w:t>
      </w:r>
      <w:r>
        <w:rPr>
          <w:b w:val="0"/>
          <w:i w:val="0"/>
        </w:rPr>
        <w:t></w:t>
      </w:r>
      <w:r>
        <w:rPr>
          <w:b w:val="0"/>
          <w:i w:val="0"/>
        </w:rPr>
        <w:t>SAEs</w:t>
      </w:r>
      <w:r>
        <w:rPr>
          <w:b w:val="0"/>
          <w:i w:val="0"/>
        </w:rPr>
        <w:t xml:space="preserve">dose at least 6 months after the third </w:t>
      </w:r>
      <w:r>
        <w:rPr>
          <w:b w:val="0"/>
          <w:i w:val="0"/>
        </w:rPr>
        <w:t>participants reporting:</w:t>
      </w:r>
      <w:r>
        <w:rPr>
          <w:b w:val="0"/>
          <w:i w:val="0"/>
        </w:rPr>
        <w:t xml:space="preserve">dose of BNT162b2 for participants who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AEs and SAEs from Dose 4 to </w:t>
      </w:r>
      <w:r>
        <w:rPr>
          <w:b w:val="0"/>
          <w:i w:val="0"/>
        </w:rPr>
        <w:t xml:space="preserve">received a fourth dose as part of </w:t>
      </w:r>
      <w:r>
        <w:rPr>
          <w:b w:val="0"/>
          <w:i w:val="0"/>
        </w:rPr>
        <w:t>1 month after Dose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