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STUDY POPULATION</w:t>
      </w:r>
    </w:p>
    <w:p>
      <w:r>
        <w:rPr>
          <w:b w:val="0"/>
          <w:i w:val="0"/>
        </w:rPr>
        <w:t xml:space="preserve">This study can fulfill its objectives only if appropriate participants are enrolled.  The </w:t>
      </w:r>
      <w:r>
        <w:rPr>
          <w:b w:val="0"/>
          <w:i w:val="0"/>
        </w:rPr>
        <w:t xml:space="preserve">following eligibility criteria are designed to select participants for whom participation in the </w:t>
      </w:r>
      <w:r>
        <w:rPr>
          <w:b w:val="0"/>
          <w:i w:val="0"/>
        </w:rPr>
        <w:t xml:space="preserve">study is considered appropriate.  All relevant medical and nonmedical conditions should be </w:t>
      </w:r>
      <w:r>
        <w:rPr>
          <w:b w:val="0"/>
          <w:i w:val="0"/>
        </w:rPr>
        <w:t xml:space="preserve">taken into consideration when deciding whether a particular participant is suitable for this </w:t>
      </w:r>
      <w:r>
        <w:rPr>
          <w:b w:val="0"/>
          <w:i w:val="0"/>
        </w:rPr>
        <w:t>protocol.</w:t>
      </w:r>
    </w:p>
    <w:p>
      <w:r>
        <w:rPr>
          <w:b w:val="0"/>
          <w:i w:val="0"/>
        </w:rPr>
        <w:t xml:space="preserve">Prospective approval of protocol deviations to recruitment and enrollment criteria, also </w:t>
      </w:r>
      <w:r>
        <w:rPr>
          <w:b w:val="0"/>
          <w:i w:val="0"/>
        </w:rPr>
        <w:t>known as protocol waivers or exemptions, is not permitted.</w:t>
      </w:r>
    </w:p>
    <w:p>
      <w:pPr>
        <w:pStyle w:val="Heading2"/>
      </w:pPr>
      <w:r>
        <w:t>5.1. Inclusion Criteria</w:t>
      </w:r>
    </w:p>
    <w:p>
      <w:r>
        <w:rPr>
          <w:b w:val="0"/>
          <w:i w:val="0"/>
        </w:rPr>
        <w:t>Participants are eligible to be included in the study only if all of the following criteria apply:</w:t>
      </w:r>
    </w:p>
    <w:p>
      <w:r>
        <w:rPr>
          <w:b/>
        </w:rPr>
        <w:t>Age and Sex:</w:t>
      </w:r>
    </w:p>
    <w:p>
      <w:pPr>
        <w:pStyle w:val="ListNumber"/>
      </w:pPr>
      <w:r>
        <w:t>Male or female participants between the ages of 18 and 55 years, inclusive, and 65 and 85 years, inclusive (Phase 1), or ≥12 years (Phase 2/3), at randomization.</w:t>
      </w:r>
    </w:p>
    <w:p>
      <w:r>
        <w:rPr>
          <w:b w:val="0"/>
          <w:i w:val="0"/>
        </w:rPr>
        <w:t>For the boostability and protection-against-VOCs subset: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 xml:space="preserve">Existing participants enrolled to receive a third dose of BNT162b2 at 30 µg or </w:t>
      </w:r>
      <w:r>
        <w:rPr>
          <w:b w:val="0"/>
          <w:i w:val="0"/>
        </w:rPr>
        <w:t>BNT162b2</w:t>
      </w:r>
      <w:r>
        <w:rPr>
          <w:b w:val="0"/>
          <w:i w:val="0"/>
        </w:rPr>
        <w:t>SA</w:t>
      </w:r>
      <w:r>
        <w:rPr>
          <w:b w:val="0"/>
          <w:i w:val="0"/>
        </w:rPr>
        <w:t xml:space="preserve">; male or female participants between the ages of 18 and 55 years, </w:t>
      </w:r>
      <w:r>
        <w:rPr>
          <w:b w:val="0"/>
          <w:i w:val="0"/>
        </w:rPr>
        <w:t>inclusive, at rerandomization.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Newly enrolled participants enrolled to receive 2 doses of BNT162b2</w:t>
      </w:r>
      <w:r>
        <w:rPr>
          <w:b w:val="0"/>
          <w:i w:val="0"/>
        </w:rPr>
        <w:t>SA</w:t>
      </w:r>
      <w:r>
        <w:rPr>
          <w:b w:val="0"/>
          <w:i w:val="0"/>
        </w:rPr>
        <w:t>; male or</w:t>
      </w:r>
      <w:r>
        <w:rPr>
          <w:b w:val="0"/>
          <w:i w:val="0"/>
        </w:rPr>
        <w:t>female participants between the ages of 18 and 55 years, inclusive, at enrollment.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Existing participants enrolled to receive a third dose of BNT162b2 at 5 or 10 µg;</w:t>
      </w:r>
      <w:r>
        <w:rPr>
          <w:b w:val="0"/>
          <w:i w:val="0"/>
        </w:rPr>
        <w:t>male or female participants ≥18 years at rerandomization.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Note that participants &lt;18 years of age cannot be enrolled in the EU.</w:t>
      </w:r>
    </w:p>
    <w:p>
      <w:r>
        <w:rPr>
          <w:b w:val="0"/>
          <w:i w:val="0"/>
        </w:rPr>
        <w:t></w:t>
      </w:r>
      <w:r>
        <w:rPr>
          <w:b w:val="0"/>
          <w:i w:val="0"/>
        </w:rPr>
        <w:t>Refer to Appendix 4 for reproductive criteria for male (</w:t>
      </w:r>
      <w:r>
        <w:rPr>
          <w:b w:val="0"/>
          <w:i w:val="0"/>
        </w:rPr>
        <w:t>Section 10.4.1</w:t>
      </w:r>
      <w:r>
        <w:rPr>
          <w:b w:val="0"/>
          <w:i w:val="0"/>
        </w:rPr>
        <w:t xml:space="preserve">) and female </w:t>
      </w:r>
      <w:r>
        <w:rPr>
          <w:b w:val="0"/>
          <w:i w:val="0"/>
        </w:rPr>
        <w:t>(</w:t>
      </w:r>
      <w:r>
        <w:rPr>
          <w:b w:val="0"/>
          <w:i w:val="0"/>
        </w:rPr>
        <w:t>Section 10.4.2</w:t>
      </w:r>
      <w:r>
        <w:rPr>
          <w:b w:val="0"/>
          <w:i w:val="0"/>
        </w:rPr>
        <w:t>) participants.</w:t>
      </w:r>
    </w:p>
    <w:p>
      <w:r>
        <w:rPr>
          <w:b/>
        </w:rPr>
        <w:t>Type of Participant and Disease Characteristics:</w:t>
      </w:r>
    </w:p>
    <w:p>
      <w:pPr>
        <w:pStyle w:val="ListNumber"/>
      </w:pPr>
      <w:r>
        <w:t>Participants who are willing and able to comply with all scheduled visits, vaccination plan, laboratory tests, lifestyle considerations, and other study procedures.</w:t>
      </w:r>
    </w:p>
    <w:p>
      <w:pPr>
        <w:pStyle w:val="ListNumber"/>
      </w:pPr>
      <w:r>
        <w:t>Healthy participants who are determined by medical history, physical examination (if required), and clinical judgment of the investigator to be eligible for inclusion in the study.</w:t>
      </w:r>
    </w:p>
    <w:p>
      <w:r>
        <w:rPr>
          <w:b/>
          <w:i w:val="0"/>
        </w:rPr>
        <w:t>Note</w:t>
      </w:r>
      <w:r>
        <w:rPr>
          <w:b w:val="0"/>
          <w:i w:val="0"/>
        </w:rPr>
        <w:t xml:space="preserve">: Healthy participants with preexisting stable disease, defined as disease not </w:t>
      </w:r>
      <w:r>
        <w:rPr>
          <w:b w:val="0"/>
          <w:i w:val="0"/>
        </w:rPr>
        <w:t xml:space="preserve">requiring significant change in therapy or hospitalization for worsening disease during </w:t>
      </w:r>
      <w:r>
        <w:rPr>
          <w:b w:val="0"/>
          <w:i w:val="0"/>
        </w:rPr>
        <w:t xml:space="preserve">the 6 weeks before enrollment, can be included. Specific criteria for Phase 3 participants </w:t>
      </w:r>
      <w:r>
        <w:rPr>
          <w:b w:val="0"/>
          <w:i w:val="0"/>
        </w:rPr>
        <w:t xml:space="preserve">with known stable infection with human immunodeficiency virus (HIV), hepatitis C virus </w:t>
      </w:r>
      <w:r>
        <w:rPr>
          <w:b w:val="0"/>
          <w:i w:val="0"/>
        </w:rPr>
        <w:t xml:space="preserve">(HCV), or hepatitis B virus (HBV) can be found in </w:t>
      </w:r>
      <w:r>
        <w:rPr>
          <w:b w:val="0"/>
          <w:i w:val="0"/>
        </w:rPr>
        <w:t>Section 10.8</w:t>
      </w:r>
      <w:r>
        <w:rPr>
          <w:b w:val="0"/>
          <w:i w:val="0"/>
        </w:rPr>
        <w:t>.</w:t>
      </w:r>
    </w:p>
    <w:p>
      <w:pPr>
        <w:pStyle w:val="ListNumber"/>
      </w:pPr>
      <w:r>
        <w:t>Phase 2/3 only: Participants who, in the judgment of the investigator, are at higher risk</w:t>
      </w:r>
    </w:p>
    <w:p>
      <w:r>
        <w:rPr>
          <w:b w:val="0"/>
          <w:i w:val="0"/>
        </w:rPr>
        <w:t xml:space="preserve">for acquiring COVID-19 (including, but not limited to, use of mass transportation, </w:t>
      </w:r>
      <w:r>
        <w:rPr>
          <w:b w:val="0"/>
          <w:i w:val="0"/>
        </w:rPr>
        <w:t>relevant demographics, and frontline essential workers).</w:t>
      </w:r>
    </w:p>
    <w:p>
      <w:pPr>
        <w:pStyle w:val="Heading1"/>
      </w:pPr>
      <w:r>
        <w:t>5. Boostability and protection-against-VOCs existing participant subset only:</w:t>
      </w:r>
    </w:p>
    <w:p>
      <w:r>
        <w:rPr>
          <w:b w:val="0"/>
          <w:i w:val="0"/>
        </w:rPr>
        <w:t xml:space="preserve">Participants who provided a serum sample at Visit 3, with Visit 3 occurring within the </w:t>
      </w:r>
      <w:r>
        <w:rPr>
          <w:b w:val="0"/>
          <w:i w:val="0"/>
        </w:rPr>
        <w:t>protocol-specified window.</w:t>
      </w:r>
    </w:p>
    <w:p>
      <w:r>
        <w:rPr>
          <w:b/>
        </w:rPr>
        <w:t>Informed Consent:</w:t>
      </w:r>
    </w:p>
    <w:p>
      <w:pPr>
        <w:pStyle w:val="ListNumber"/>
      </w:pPr>
      <w:r>
        <w:t>Capable of giving personal signed informed consent/have parent(s)/legal guardian capable of giving signed informed consent as described in Appendix 1, which includes compliance with the requirements and restrictions listed in the ICD and in this protocol.</w:t>
      </w:r>
    </w:p>
    <w:p>
      <w:pPr>
        <w:pStyle w:val="Heading2"/>
      </w:pPr>
      <w:r>
        <w:t>5.2. Exclusion Criteria</w:t>
      </w:r>
    </w:p>
    <w:p>
      <w:r>
        <w:rPr>
          <w:b w:val="0"/>
          <w:i w:val="0"/>
        </w:rPr>
        <w:t>Participants are excluded from the study if any of the following criteria apply:</w:t>
      </w:r>
    </w:p>
    <w:p>
      <w:r>
        <w:rPr>
          <w:b/>
        </w:rPr>
        <w:t>Medical Conditions:</w:t>
      </w:r>
    </w:p>
    <w:p>
      <w:pPr>
        <w:pStyle w:val="ListNumber"/>
      </w:pPr>
      <w:r>
        <w:t>Other medical or psychiatric condition including recent (within the past year) or active suicidal ideation/behavior or laboratory abnormality that may increase the risk of study participation or, in the investigator’s judgment, make the participant inappropriate for the study.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