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5.2. Exclusion Criteria</w:t>
      </w:r>
    </w:p>
    <w:p>
      <w:r>
        <w:rPr>
          <w:b w:val="0"/>
          <w:i w:val="0"/>
        </w:rPr>
        <w:t>Participants are excluded from the study if any of the following criteria apply:</w:t>
      </w:r>
    </w:p>
    <w:p>
      <w:r>
        <w:rPr>
          <w:b/>
        </w:rPr>
        <w:t>Medical Conditions:</w:t>
      </w:r>
    </w:p>
    <w:p>
      <w:pPr>
        <w:pStyle w:val="ListNumber"/>
      </w:pPr>
      <w:r>
        <w:t>Other medical or psychiatric condition including recent (within the past year) or active suicidal ideation/behavior or laboratory abnormality that may increase the risk of study participation or, in the investigator’s judgment, make the participant inappropriate for the study.</w:t>
      </w:r>
    </w:p>
    <w:p>
      <w:pPr>
        <w:pStyle w:val="ListNumber"/>
      </w:pPr>
      <w:r>
        <w:t>Phases 1 and 2 only: Known infection with human immunodeficiency virus (HIV),</w:t>
      </w:r>
    </w:p>
    <w:p>
      <w:r>
        <w:rPr>
          <w:b w:val="0"/>
          <w:i w:val="0"/>
        </w:rPr>
        <w:t>hepatitis C virus (HCV), or hepatitis B virus (HBV).</w:t>
      </w:r>
    </w:p>
    <w:p>
      <w:pPr>
        <w:pStyle w:val="ListNumber"/>
      </w:pPr>
      <w:r>
        <w:t>History of severe adverse reaction associated with a vaccine and/or severe allergic reaction (eg, anaphylaxis) to any component of the study intervention(s).</w:t>
      </w:r>
    </w:p>
    <w:p>
      <w:pPr>
        <w:pStyle w:val="ListNumber"/>
      </w:pPr>
      <w:r>
        <w:t>Receipt of medications intended to prevent COVID-19.</w:t>
      </w:r>
    </w:p>
    <w:p>
      <w:pPr>
        <w:pStyle w:val="ListNumber"/>
      </w:pPr>
      <w:r>
        <w:t>Previous clinical (based on COVID-19 symptoms/signs alone, if a SARS-CoV-2 NAAT result was not available) or microbiological (based on COVID-19 symptoms/signs and a positive SARS-CoV-2 NAAT result) diagnosis of COVID-19.</w:t>
      </w:r>
    </w:p>
    <w:p>
      <w:pPr>
        <w:pStyle w:val="ListNumber"/>
      </w:pPr>
      <w:r>
        <w:t>Phase 1 only: Individuals at high risk for severe COVID-19, including those with any of</w:t>
      </w:r>
    </w:p>
    <w:p>
      <w:r>
        <w:rPr>
          <w:b w:val="0"/>
          <w:i w:val="0"/>
        </w:rPr>
        <w:t>the following risk factors:</w:t>
      </w:r>
    </w:p>
    <w:p>
      <w:r>
        <w:rPr>
          <w:b w:val="0"/>
          <w:i w:val="0"/>
        </w:rPr>
        <w:t></w:t>
      </w:r>
      <w:r>
        <w:rPr>
          <w:b w:val="0"/>
          <w:i w:val="0"/>
        </w:rPr>
        <w:t>Hypertension</w:t>
      </w:r>
    </w:p>
    <w:p>
      <w:r>
        <w:rPr>
          <w:b w:val="0"/>
          <w:i w:val="0"/>
        </w:rPr>
        <w:t></w:t>
      </w:r>
      <w:r>
        <w:rPr>
          <w:b w:val="0"/>
          <w:i w:val="0"/>
        </w:rPr>
        <w:t>Diabetes mellitus</w:t>
      </w:r>
    </w:p>
    <w:p>
      <w:r>
        <w:rPr>
          <w:b w:val="0"/>
          <w:i w:val="0"/>
        </w:rPr>
        <w:t></w:t>
      </w:r>
      <w:r>
        <w:rPr>
          <w:b w:val="0"/>
          <w:i w:val="0"/>
        </w:rPr>
        <w:t>Chronic pulmonary disease</w:t>
      </w:r>
    </w:p>
    <w:p>
      <w:r>
        <w:rPr>
          <w:b w:val="0"/>
          <w:i w:val="0"/>
        </w:rPr>
        <w:t></w:t>
      </w:r>
      <w:r>
        <w:rPr>
          <w:b w:val="0"/>
          <w:i w:val="0"/>
        </w:rPr>
        <w:t>Asthma</w:t>
      </w:r>
    </w:p>
    <w:p>
      <w:r>
        <w:rPr>
          <w:b w:val="0"/>
          <w:i w:val="0"/>
        </w:rPr>
        <w:t></w:t>
      </w:r>
      <w:r>
        <w:rPr>
          <w:b w:val="0"/>
          <w:i w:val="0"/>
        </w:rPr>
        <w:t>Current vaping or smoking</w:t>
      </w:r>
    </w:p>
    <w:p>
      <w:r>
        <w:rPr>
          <w:b w:val="0"/>
          <w:i w:val="0"/>
        </w:rPr>
        <w:t></w:t>
      </w:r>
      <w:r>
        <w:rPr>
          <w:b w:val="0"/>
          <w:i w:val="0"/>
        </w:rPr>
        <w:t>History of chronic smoking within the prior year</w:t>
      </w:r>
    </w:p>
    <w:p>
      <w:r>
        <w:rPr>
          <w:b w:val="0"/>
          <w:i w:val="0"/>
        </w:rPr>
        <w:t></w:t>
      </w:r>
      <w:r>
        <w:rPr>
          <w:b w:val="0"/>
          <w:i w:val="0"/>
        </w:rPr>
        <w:t>Chronic liver disease</w:t>
      </w:r>
    </w:p>
    <w:p>
      <w:r>
        <w:rPr>
          <w:b w:val="0"/>
          <w:i w:val="0"/>
        </w:rPr>
        <w:t></w:t>
      </w:r>
      <w:r>
        <w:rPr>
          <w:b w:val="0"/>
          <w:i w:val="0"/>
        </w:rPr>
        <w:t xml:space="preserve">Stage 3 or worse chronic kidney disease (glomerular filtration rate </w:t>
      </w:r>
      <w:r>
        <w:rPr>
          <w:b w:val="0"/>
          <w:i w:val="0"/>
        </w:rPr>
        <w:t>&lt;60 mL/min/1.73 m</w:t>
      </w:r>
      <w:r>
        <w:rPr>
          <w:b w:val="0"/>
          <w:i w:val="0"/>
        </w:rPr>
        <w:t>2</w:t>
      </w:r>
      <w:r>
        <w:rPr>
          <w:b w:val="0"/>
          <w:i w:val="0"/>
        </w:rPr>
        <w:t>)</w:t>
      </w:r>
    </w:p>
    <w:p>
      <w:r>
        <w:rPr>
          <w:b w:val="0"/>
          <w:i w:val="0"/>
        </w:rPr>
        <w:t></w:t>
      </w:r>
      <w:r>
        <w:rPr>
          <w:b w:val="0"/>
          <w:i w:val="0"/>
        </w:rPr>
        <w:t>Resident in a long-term facility</w:t>
      </w:r>
    </w:p>
    <w:p>
      <w:r>
        <w:rPr>
          <w:b w:val="0"/>
          <w:i w:val="0"/>
        </w:rPr>
        <w:t></w:t>
      </w:r>
      <w:r>
        <w:rPr>
          <w:b w:val="0"/>
          <w:i w:val="0"/>
        </w:rPr>
        <w:t>BMI &gt;30 kg/m</w:t>
      </w:r>
      <w:r>
        <w:rPr>
          <w:b w:val="0"/>
          <w:i w:val="0"/>
        </w:rPr>
        <w:t>2</w:t>
      </w:r>
    </w:p>
    <w:p>
      <w:r>
        <w:rPr>
          <w:b w:val="0"/>
          <w:i w:val="0"/>
        </w:rPr>
        <w:t></w:t>
      </w:r>
      <w:r>
        <w:rPr>
          <w:b w:val="0"/>
          <w:i w:val="0"/>
        </w:rPr>
        <w:t>Anticipating the need for immunosuppressive treatment within the next 6 months</w:t>
      </w:r>
    </w:p>
    <w:p>
      <w:pPr>
        <w:pStyle w:val="ListNumber"/>
      </w:pPr>
      <w:r>
        <w:t>Phase 1 only: Individuals currently working in occupations with high risk of exposure to</w:t>
      </w:r>
    </w:p>
    <w:p>
      <w:r>
        <w:rPr>
          <w:b w:val="0"/>
          <w:i w:val="0"/>
        </w:rPr>
        <w:t>SARS-CoV-2 (eg, healthcare worker, emergency response personnel).</w:t>
      </w:r>
    </w:p>
    <w:p>
      <w:pPr>
        <w:pStyle w:val="ListNumber"/>
      </w:pPr>
      <w:r>
        <w:t>Immunocompromised individuals with known or suspected immunodeficiency, as determined by history and/or laboratory/physical examination.</w:t>
      </w:r>
    </w:p>
    <w:p>
      <w:pPr>
        <w:pStyle w:val="ListNumber"/>
      </w:pPr>
      <w:r>
        <w:t>Phase 1 only: Individuals with a history of autoimmune disease or an active autoimmune</w:t>
      </w:r>
    </w:p>
    <w:p>
      <w:r>
        <w:rPr>
          <w:b w:val="0"/>
          <w:i w:val="0"/>
        </w:rPr>
        <w:t xml:space="preserve">disease requiring therapeutic intervention, including but not limited to: systemic or </w:t>
      </w:r>
      <w:r>
        <w:rPr>
          <w:b w:val="0"/>
          <w:i w:val="0"/>
        </w:rPr>
        <w:t xml:space="preserve">cutaneous lupus erythematosus, autoimmune arthritis/rheumatoid arthritis, Guillain-Barré </w:t>
      </w:r>
      <w:r>
        <w:rPr>
          <w:b w:val="0"/>
          <w:i w:val="0"/>
        </w:rPr>
        <w:t xml:space="preserve">syndrome, multiple sclerosis, Sjögren’s syndrome, idiopathic thrombocytopenia purpura, </w:t>
      </w:r>
      <w:r>
        <w:rPr>
          <w:b w:val="0"/>
          <w:i w:val="0"/>
        </w:rPr>
        <w:t xml:space="preserve">glomerulonephritis, autoimmune thyroiditis, giant cell arteritis (temporal arteritis), </w:t>
      </w:r>
      <w:r>
        <w:rPr>
          <w:b w:val="0"/>
          <w:i w:val="0"/>
        </w:rPr>
        <w:t>psoriasis, and insulin-dependent diabetes mellitus (type 1).</w:t>
      </w:r>
    </w:p>
    <w:p>
      <w:pPr>
        <w:pStyle w:val="ListNumber"/>
      </w:pPr>
      <w:r>
        <w:t>Bleeding diathesis or condition associated with prolonged bleeding that would, in the opinion of the investigator, contraindicate intramuscular injection.</w:t>
      </w:r>
    </w:p>
    <w:p>
      <w:pPr>
        <w:pStyle w:val="ListNumber"/>
      </w:pPr>
      <w:r>
        <w:t>Women who are pregnant or breastfeeding.</w:t>
      </w:r>
    </w:p>
    <w:p>
      <w:r>
        <w:rPr>
          <w:b/>
        </w:rPr>
        <w:t>Prior/Concomitant Therapy:</w:t>
      </w:r>
    </w:p>
    <w:p>
      <w:pPr>
        <w:pStyle w:val="ListNumber"/>
      </w:pPr>
      <w:r>
        <w:t>Previous vaccination with any coronavirus vaccine.</w:t>
      </w:r>
    </w:p>
    <w:p>
      <w:pPr>
        <w:pStyle w:val="ListNumber"/>
      </w:pPr>
      <w:r>
        <w:t>Individuals who receive treatment with immunosuppressive therapy, including cytotoxic agents or systemic corticosteroids, eg, for cancer or an autoimmune disease, or planned receipt throughout the study.  If systemic corticosteroids have been administered short term (&lt;14 days) for treatment of an acute illness, participants should not be enrolled into the study until corticosteroid therapy has been discontinued for at least 28 days before study intervention administration.  Inhaled/nebulized (except for participants in Phase 1 – see exclusion criterion 14), intra-articular, intrabursal, or topical (skin or eyes) corticosteroids are permitted.</w:t>
      </w:r>
    </w:p>
    <w:p>
      <w:pPr>
        <w:pStyle w:val="ListNumber"/>
      </w:pPr>
      <w:r>
        <w:t>Phase 1 only: Regular receipt of inhaled/nebulized corticosteroids.</w:t>
      </w:r>
    </w:p>
    <w:p>
      <w:pPr>
        <w:pStyle w:val="ListNumber"/>
      </w:pPr>
      <w:r>
        <w:t>Receipt of blood/plasma products or immunoglobulin, from 60 days before study intervention administration or planned receipt throughout the study.</w:t>
      </w:r>
    </w:p>
    <w:p>
      <w:r>
        <w:rPr>
          <w:b/>
        </w:rPr>
        <w:t>Prior/Concurrent Clinical Study Experience:</w:t>
      </w:r>
    </w:p>
    <w:p>
      <w:pPr>
        <w:pStyle w:val="ListNumber"/>
      </w:pPr>
      <w:r>
        <w:t>Participation in other studies involving study intervention within 28 days prior to study entry through and including 28 days after the last dose of study intervention, with the exception of non-Pfizer interventional studies for prevention of COVID-19, which are prohibited throughout study participation.</w:t>
      </w:r>
    </w:p>
    <w:p>
      <w:pPr>
        <w:pStyle w:val="ListNumber"/>
      </w:pPr>
      <w:r>
        <w:t>Previous participation in other studies involving study intervention containing lipid nanoparticles.</w:t>
      </w:r>
    </w:p>
    <w:p>
      <w:r>
        <w:rPr>
          <w:b/>
        </w:rPr>
        <w:t>Diagnostic Assessments:</w:t>
      </w:r>
    </w:p>
    <w:p>
      <w:pPr>
        <w:pStyle w:val="ListNumber"/>
      </w:pPr>
      <w:r>
        <w:t>Phase 1 only: Positive serological test for SARS-CoV-2 IgM and/or IgG antibodies at</w:t>
      </w:r>
    </w:p>
    <w:p>
      <w:r>
        <w:rPr>
          <w:b w:val="0"/>
          <w:i w:val="0"/>
        </w:rPr>
        <w:t>the screening visit.</w:t>
      </w:r>
    </w:p>
    <w:p>
      <w:pPr>
        <w:pStyle w:val="ListNumber"/>
      </w:pPr>
      <w:r>
        <w:t>Phase 1 only: Any screening hematology and/or blood chemistry laboratory value that</w:t>
      </w:r>
    </w:p>
    <w:p>
      <w:r>
        <w:rPr>
          <w:b w:val="0"/>
          <w:i w:val="0"/>
        </w:rPr>
        <w:t>meets the definition of a ≥Grade 1 abnormality.</w:t>
      </w:r>
    </w:p>
    <w:p>
      <w:r>
        <w:rPr>
          <w:b/>
          <w:i w:val="0"/>
        </w:rPr>
        <w:t>Note:</w:t>
      </w:r>
      <w:r>
        <w:rPr>
          <w:b w:val="0"/>
          <w:i w:val="0"/>
        </w:rPr>
        <w:t xml:space="preserve"> With the exception of bilirubin, participants with any stable Grade 1 abnormalities </w:t>
      </w:r>
      <w:r>
        <w:rPr>
          <w:b w:val="0"/>
          <w:i w:val="0"/>
        </w:rPr>
        <w:t xml:space="preserve">(according to the toxicity grading scale) may be considered eligible at the discretion of </w:t>
      </w:r>
      <w:r>
        <w:rPr>
          <w:b w:val="0"/>
          <w:i w:val="0"/>
        </w:rPr>
        <w:t xml:space="preserve">the investigator.  (Note: A “stable” Grade 1 laboratory abnormality is defined as a report </w:t>
      </w:r>
      <w:r>
        <w:rPr>
          <w:b w:val="0"/>
          <w:i w:val="0"/>
        </w:rPr>
        <w:t xml:space="preserve">of Grade 1 on an initial blood sample that remains ≤Grade 1 upon repeat testing on a </w:t>
      </w:r>
      <w:r>
        <w:rPr>
          <w:b w:val="0"/>
          <w:i w:val="0"/>
        </w:rPr>
        <w:t>second sample from the same participant.)</w:t>
      </w:r>
    </w:p>
    <w:p>
      <w:pPr>
        <w:pStyle w:val="ListNumber"/>
      </w:pPr>
      <w:r>
        <w:t>Phase 1 only: Positive test for HIV, hepatitis B surface antigen (HBsAg), hepatitis B</w:t>
      </w:r>
    </w:p>
    <w:p>
      <w:r>
        <w:rPr>
          <w:b w:val="0"/>
          <w:i w:val="0"/>
        </w:rPr>
        <w:t xml:space="preserve">core antibodies (HBc Abs), or hepatitis C virus antibodies (HCV Abs) at the screening </w:t>
      </w:r>
      <w:r>
        <w:rPr>
          <w:b w:val="0"/>
          <w:i w:val="0"/>
        </w:rPr>
        <w:t>visit.</w:t>
      </w:r>
    </w:p>
    <w:p>
      <w:pPr>
        <w:pStyle w:val="ListNumber"/>
      </w:pPr>
      <w:r>
        <w:t>Phase 1 only: SARS-CoV-2 NAAT-positive nasal swab within 24 hours before receipt of</w:t>
      </w:r>
    </w:p>
    <w:p>
      <w:r>
        <w:rPr>
          <w:b w:val="0"/>
          <w:i w:val="0"/>
        </w:rPr>
        <w:t>study intervention.</w:t>
      </w:r>
    </w:p>
    <w:p>
      <w:r>
        <w:rPr>
          <w:b/>
        </w:rPr>
        <w:t>Other Exclusions:</w:t>
      </w:r>
    </w:p>
    <w:p>
      <w:pPr>
        <w:pStyle w:val="ListNumber"/>
      </w:pPr>
      <w:r>
        <w:t>Investigator site staff or Pfizer/BioNTech employees directly involved in the conduct of the study, site staff otherwise supervised by the investigator, and their respective family members.</w:t>
      </w:r>
    </w:p>
    <w:p>
      <w:pPr>
        <w:pStyle w:val="Heading2"/>
      </w:pPr>
      <w:r>
        <w:t>5.3. Lifestyle Considerations</w:t>
      </w:r>
    </w:p>
    <w:p>
      <w:pPr>
        <w:pStyle w:val="Heading3"/>
      </w:pPr>
      <w:r>
        <w:t>5.3.1. Contraception</w:t>
      </w:r>
    </w:p>
    <w:p>
      <w:r>
        <w:rPr>
          <w:b w:val="0"/>
          <w:i w:val="0"/>
        </w:rPr>
        <w:t xml:space="preserve">The investigator or his or her designee, in consultation with the participant, will confirm that </w:t>
      </w:r>
      <w:r>
        <w:rPr>
          <w:b w:val="0"/>
          <w:i w:val="0"/>
        </w:rPr>
        <w:t xml:space="preserve">the participant has selected an appropriate method of contraception for the individual </w:t>
      </w:r>
      <w:r>
        <w:rPr>
          <w:b w:val="0"/>
          <w:i w:val="0"/>
        </w:rPr>
        <w:t xml:space="preserve">participant and his or her partner(s) from the permitted list of contraception methods </w:t>
      </w:r>
      <w:r>
        <w:rPr>
          <w:b w:val="0"/>
          <w:i w:val="0"/>
        </w:rPr>
        <w:t>(see Appendix 4,</w:t>
      </w:r>
      <w:r>
        <w:rPr>
          <w:b w:val="0"/>
          <w:i w:val="0"/>
        </w:rPr>
        <w:t xml:space="preserve"> Section 10.4.4</w:t>
      </w:r>
      <w:r>
        <w:rPr>
          <w:b w:val="0"/>
          <w:i w:val="0"/>
        </w:rPr>
        <w:t xml:space="preserve">) and will confirm that the participant has been instructed in </w:t>
      </w:r>
      <w:r>
        <w:rPr>
          <w:b w:val="0"/>
          <w:i w:val="0"/>
        </w:rPr>
        <w:t xml:space="preserve">its consistent and correct use.  At time points indicated in the </w:t>
      </w:r>
      <w:r>
        <w:rPr>
          <w:b w:val="0"/>
          <w:i w:val="0"/>
        </w:rPr>
        <w:t>SoA</w:t>
      </w:r>
      <w:r>
        <w:rPr>
          <w:b w:val="0"/>
          <w:i w:val="0"/>
        </w:rPr>
        <w:t xml:space="preserve">, the investigator or </w:t>
      </w:r>
      <w:r>
        <w:rPr>
          <w:b w:val="0"/>
          <w:i w:val="0"/>
        </w:rPr>
        <w:t xml:space="preserve">designee will inform the participant of the need to use highly effective contraception </w:t>
      </w:r>
      <w:r>
        <w:rPr>
          <w:b w:val="0"/>
          <w:i w:val="0"/>
        </w:rPr>
        <w:t xml:space="preserve">consistently and correctly and document the conversation and the participant’s affirmation in </w:t>
      </w:r>
      <w:r>
        <w:rPr>
          <w:b w:val="0"/>
          <w:i w:val="0"/>
        </w:rPr>
        <w:t xml:space="preserve">the participant’s chart (participants need to affirm their consistent and correct use of at least </w:t>
      </w:r>
      <w:r>
        <w:rPr>
          <w:b w:val="0"/>
          <w:i w:val="0"/>
        </w:rPr>
        <w:t xml:space="preserve">1 of the selected methods of contraception).  In addition, the investigator or designee will </w:t>
      </w:r>
      <w:r>
        <w:rPr>
          <w:b w:val="0"/>
          <w:i w:val="0"/>
        </w:rPr>
        <w:t xml:space="preserve">instruct the participant to call immediately if the selected contraception method is </w:t>
      </w:r>
      <w:r>
        <w:rPr>
          <w:b w:val="0"/>
          <w:i w:val="0"/>
        </w:rPr>
        <w:t>discontinued or if pregnancy is known or suspected in the participant or partner.</w:t>
      </w:r>
    </w:p>
    <w:p>
      <w:pPr>
        <w:pStyle w:val="Heading2"/>
      </w:pPr>
      <w:r>
        <w:t>5.4. Screen Failures</w:t>
      </w:r>
    </w:p>
    <w:p>
      <w:r>
        <w:rPr>
          <w:b w:val="0"/>
          <w:i w:val="0"/>
        </w:rPr>
        <w:t xml:space="preserve">Screen failures are defined as participants who consent to participate in the clinical study but </w:t>
      </w:r>
      <w:r>
        <w:rPr>
          <w:b w:val="0"/>
          <w:i w:val="0"/>
        </w:rPr>
        <w:t xml:space="preserve">are not subsequently randomly assigned to study intervention. A minimal set of screen </w:t>
      </w:r>
      <w:r>
        <w:rPr>
          <w:b w:val="0"/>
          <w:i w:val="0"/>
        </w:rPr>
        <w:t xml:space="preserve">failure information is required to ensure transparent reporting of screen failure participants to </w:t>
      </w:r>
      <w:r>
        <w:rPr>
          <w:b w:val="0"/>
          <w:i w:val="0"/>
        </w:rPr>
        <w:t xml:space="preserve">meet the CONSORT publishing requirements and to respond to queries from regulatory </w:t>
      </w:r>
      <w:r>
        <w:rPr>
          <w:b w:val="0"/>
          <w:i w:val="0"/>
        </w:rPr>
        <w:t xml:space="preserve">authorities. Minimal information includes demography, screen failure details, eligibility </w:t>
      </w:r>
      <w:r>
        <w:rPr>
          <w:b w:val="0"/>
          <w:i w:val="0"/>
        </w:rPr>
        <w:t>criteria, and any SAE.</w:t>
      </w:r>
    </w:p>
    <w:p>
      <w:r>
        <w:rPr>
          <w:b w:val="0"/>
          <w:i w:val="0"/>
        </w:rPr>
        <w:t xml:space="preserve">Individuals who do not meet the criteria for participation in this study (screen failure) may be </w:t>
      </w:r>
      <w:r>
        <w:rPr>
          <w:b w:val="0"/>
          <w:i w:val="0"/>
        </w:rPr>
        <w:t>rescreened under a different participant number.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